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120" w:afterLines="5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>
        <w:rPr>
          <w:rFonts w:eastAsia="標楷體"/>
          <w:b/>
          <w:sz w:val="32"/>
          <w:szCs w:val="32"/>
        </w:rPr>
        <w:t>新北市</w:t>
      </w:r>
      <w:r>
        <w:rPr>
          <w:rFonts w:eastAsia="標楷體"/>
          <w:b/>
          <w:sz w:val="32"/>
          <w:szCs w:val="32"/>
          <w:u w:val="single"/>
        </w:rPr>
        <w:t xml:space="preserve">  </w:t>
      </w:r>
      <w:r>
        <w:rPr>
          <w:rFonts w:hint="eastAsia" w:eastAsia="標楷體"/>
          <w:b/>
          <w:sz w:val="32"/>
          <w:szCs w:val="32"/>
          <w:u w:val="single"/>
          <w:lang w:eastAsia="zh-TW"/>
        </w:rPr>
        <w:t>竹圍高中</w:t>
      </w:r>
      <w:r>
        <w:rPr>
          <w:rFonts w:eastAsia="標楷體"/>
          <w:b/>
          <w:sz w:val="32"/>
          <w:szCs w:val="32"/>
          <w:u w:val="single"/>
        </w:rPr>
        <w:t xml:space="preserve">   </w:t>
      </w:r>
      <w:r>
        <w:rPr>
          <w:rFonts w:eastAsia="標楷體"/>
          <w:b/>
          <w:sz w:val="32"/>
          <w:szCs w:val="32"/>
        </w:rPr>
        <w:t>國</w:t>
      </w:r>
      <w:r>
        <w:rPr>
          <w:rFonts w:hint="eastAsia" w:eastAsia="標楷體"/>
          <w:b/>
          <w:sz w:val="32"/>
          <w:szCs w:val="32"/>
          <w:lang w:eastAsia="zh-TW"/>
        </w:rPr>
        <w:t>中部</w:t>
      </w:r>
      <w:r>
        <w:rPr>
          <w:rFonts w:eastAsia="標楷體"/>
          <w:b/>
          <w:color w:val="FF0000"/>
          <w:sz w:val="32"/>
          <w:szCs w:val="32"/>
          <w:u w:val="single"/>
        </w:rPr>
        <w:t>11</w:t>
      </w:r>
      <w:r>
        <w:rPr>
          <w:rFonts w:hint="eastAsia" w:eastAsia="標楷體"/>
          <w:b/>
          <w:color w:val="FF0000"/>
          <w:sz w:val="32"/>
          <w:szCs w:val="32"/>
          <w:u w:val="single"/>
        </w:rPr>
        <w:t>3</w:t>
      </w:r>
      <w:r>
        <w:rPr>
          <w:rFonts w:eastAsia="標楷體"/>
          <w:b/>
          <w:sz w:val="32"/>
          <w:szCs w:val="32"/>
        </w:rPr>
        <w:t>學年度</w:t>
      </w:r>
      <w:r>
        <w:rPr>
          <w:rFonts w:eastAsia="標楷體"/>
          <w:b/>
          <w:sz w:val="32"/>
          <w:szCs w:val="32"/>
          <w:u w:val="single"/>
        </w:rPr>
        <w:t xml:space="preserve"> </w:t>
      </w:r>
      <w:r>
        <w:rPr>
          <w:rFonts w:hint="eastAsia" w:eastAsia="標楷體"/>
          <w:b/>
          <w:sz w:val="32"/>
          <w:szCs w:val="32"/>
          <w:u w:val="single"/>
          <w:lang w:eastAsia="zh-TW"/>
        </w:rPr>
        <w:t>八</w:t>
      </w:r>
      <w:r>
        <w:rPr>
          <w:rFonts w:eastAsia="標楷體"/>
          <w:b/>
          <w:sz w:val="32"/>
          <w:szCs w:val="32"/>
          <w:u w:val="single"/>
        </w:rPr>
        <w:t xml:space="preserve">  </w:t>
      </w:r>
      <w:r>
        <w:rPr>
          <w:rFonts w:eastAsia="標楷體"/>
          <w:b/>
          <w:sz w:val="32"/>
          <w:szCs w:val="32"/>
        </w:rPr>
        <w:t>年級第</w:t>
      </w:r>
      <w:r>
        <w:rPr>
          <w:rFonts w:hint="eastAsia" w:eastAsia="標楷體"/>
          <w:b/>
          <w:sz w:val="32"/>
          <w:szCs w:val="32"/>
          <w:u w:val="single"/>
          <w:lang w:eastAsia="zh-TW"/>
        </w:rPr>
        <w:t>一</w:t>
      </w:r>
      <w:r>
        <w:rPr>
          <w:rFonts w:eastAsia="標楷體"/>
          <w:b/>
          <w:sz w:val="32"/>
          <w:szCs w:val="32"/>
        </w:rPr>
        <w:t>學期</w:t>
      </w:r>
      <w:r>
        <w:rPr>
          <w:rFonts w:hint="eastAsia" w:eastAsia="標楷體"/>
          <w:b/>
          <w:sz w:val="32"/>
          <w:szCs w:val="32"/>
          <w:bdr w:val="single" w:color="auto" w:sz="4" w:space="0"/>
        </w:rPr>
        <w:t>部定</w:t>
      </w:r>
      <w:r>
        <w:rPr>
          <w:rFonts w:eastAsia="標楷體"/>
          <w:b/>
          <w:sz w:val="32"/>
          <w:szCs w:val="32"/>
        </w:rPr>
        <w:t>課程計畫  設計者：</w:t>
      </w:r>
      <w:r>
        <w:rPr>
          <w:rFonts w:eastAsia="標楷體"/>
          <w:b/>
          <w:sz w:val="32"/>
          <w:szCs w:val="32"/>
          <w:u w:val="single"/>
        </w:rPr>
        <w:t>＿＿</w:t>
      </w:r>
      <w:r>
        <w:rPr>
          <w:rFonts w:hint="eastAsia" w:eastAsia="標楷體"/>
          <w:b/>
          <w:sz w:val="32"/>
          <w:szCs w:val="32"/>
          <w:u w:val="single"/>
          <w:lang w:eastAsia="zh-TW"/>
        </w:rPr>
        <w:t>杜佩芬</w:t>
      </w:r>
      <w:r>
        <w:rPr>
          <w:rFonts w:eastAsia="標楷體"/>
          <w:b/>
          <w:sz w:val="32"/>
          <w:szCs w:val="32"/>
          <w:u w:val="single"/>
        </w:rPr>
        <w:t>＿＿＿</w:t>
      </w:r>
    </w:p>
    <w:p>
      <w:pPr>
        <w:pStyle w:val="45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hAnsi="標楷體" w:eastAsia="標楷體" w:cs="標楷體"/>
          <w:b/>
          <w:color w:val="FF0000"/>
          <w:sz w:val="24"/>
          <w:szCs w:val="24"/>
        </w:rPr>
      </w:pPr>
      <w:r>
        <w:rPr>
          <w:rFonts w:hint="eastAsia" w:ascii="標楷體" w:hAnsi="標楷體" w:eastAsia="標楷體" w:cs="標楷體"/>
          <w:b/>
          <w:sz w:val="24"/>
          <w:szCs w:val="24"/>
        </w:rPr>
        <w:t>課程類別：</w:t>
      </w:r>
    </w:p>
    <w:p>
      <w:pPr>
        <w:pStyle w:val="12"/>
        <w:spacing w:line="360" w:lineRule="auto"/>
        <w:rPr>
          <w:rFonts w:ascii="標楷體" w:hAnsi="標楷體" w:eastAsia="標楷體" w:cs="標楷體"/>
        </w:rPr>
      </w:pPr>
      <w:r>
        <w:rPr>
          <w:rFonts w:hint="eastAsia" w:ascii="標楷體" w:hAnsi="標楷體" w:eastAsia="標楷體" w:cs="標楷體"/>
        </w:rPr>
        <w:t xml:space="preserve">    </w:t>
      </w:r>
      <w:r>
        <w:rPr>
          <w:rFonts w:ascii="Times New Roman" w:hAnsi="Times New Roman" w:eastAsia="標楷體" w:cs="Times New Roman"/>
        </w:rPr>
        <w:t>1.</w:t>
      </w:r>
      <w:r>
        <w:rPr>
          <w:rFonts w:ascii="標楷體" w:hAnsi="標楷體" w:eastAsia="標楷體" w:cs="標楷體"/>
        </w:rPr>
        <w:t>□</w:t>
      </w:r>
      <w:r>
        <w:rPr>
          <w:rFonts w:hint="eastAsia" w:ascii="標楷體" w:hAnsi="標楷體" w:eastAsia="標楷體" w:cs="標楷體"/>
        </w:rPr>
        <w:t xml:space="preserve">國語文    </w:t>
      </w:r>
      <w:r>
        <w:rPr>
          <w:rFonts w:ascii="Times New Roman" w:hAnsi="Times New Roman" w:eastAsia="標楷體" w:cs="Times New Roman"/>
        </w:rPr>
        <w:t>2.</w:t>
      </w:r>
      <w:r>
        <w:rPr>
          <w:rFonts w:ascii="標楷體" w:hAnsi="標楷體" w:eastAsia="標楷體" w:cs="標楷體"/>
        </w:rPr>
        <w:t>□</w:t>
      </w:r>
      <w:r>
        <w:rPr>
          <w:rFonts w:hint="eastAsia" w:ascii="標楷體" w:hAnsi="標楷體" w:eastAsia="標楷體" w:cs="標楷體"/>
        </w:rPr>
        <w:t xml:space="preserve">英語文   </w:t>
      </w:r>
      <w:r>
        <w:rPr>
          <w:rFonts w:ascii="Times New Roman" w:hAnsi="Times New Roman" w:eastAsia="標楷體" w:cs="Times New Roman"/>
        </w:rPr>
        <w:t>3.</w:t>
      </w:r>
      <w:r>
        <w:rPr>
          <w:rFonts w:ascii="標楷體" w:hAnsi="標楷體" w:eastAsia="標楷體" w:cs="標楷體"/>
        </w:rPr>
        <w:t>□</w:t>
      </w:r>
      <w:r>
        <w:rPr>
          <w:rFonts w:hint="eastAsia" w:ascii="標楷體" w:hAnsi="標楷體" w:eastAsia="標楷體" w:cs="標楷體"/>
        </w:rPr>
        <w:t xml:space="preserve">健康與體育  </w:t>
      </w:r>
      <w:r>
        <w:rPr>
          <w:rFonts w:ascii="Times New Roman" w:hAnsi="Times New Roman" w:eastAsia="標楷體" w:cs="Times New Roman"/>
        </w:rPr>
        <w:t xml:space="preserve"> 4.</w:t>
      </w:r>
      <w:r>
        <w:rPr>
          <w:rFonts w:ascii="標楷體" w:hAnsi="標楷體" w:eastAsia="標楷體" w:cs="標楷體"/>
        </w:rPr>
        <w:t>□</w:t>
      </w:r>
      <w:r>
        <w:rPr>
          <w:rFonts w:hint="eastAsia" w:ascii="標楷體" w:hAnsi="標楷體" w:eastAsia="標楷體" w:cs="標楷體"/>
        </w:rPr>
        <w:t xml:space="preserve">數學   </w:t>
      </w:r>
      <w:r>
        <w:rPr>
          <w:rFonts w:ascii="Times New Roman" w:hAnsi="Times New Roman" w:eastAsia="標楷體" w:cs="Times New Roman"/>
        </w:rPr>
        <w:t>5.</w:t>
      </w:r>
      <w:r>
        <w:rPr>
          <w:rFonts w:ascii="標楷體" w:hAnsi="標楷體" w:eastAsia="標楷體" w:cs="標楷體"/>
        </w:rPr>
        <w:t>□</w:t>
      </w:r>
      <w:r>
        <w:rPr>
          <w:rFonts w:hint="eastAsia" w:ascii="標楷體" w:hAnsi="標楷體" w:eastAsia="標楷體" w:cs="標楷體"/>
        </w:rPr>
        <w:t xml:space="preserve">社會   </w:t>
      </w:r>
      <w:r>
        <w:rPr>
          <w:rFonts w:ascii="Times New Roman" w:hAnsi="Times New Roman" w:eastAsia="標楷體" w:cs="Times New Roman"/>
        </w:rPr>
        <w:t>6.</w:t>
      </w:r>
      <w:r>
        <w:rPr>
          <w:rFonts w:ascii="標楷體" w:hAnsi="標楷體" w:eastAsia="標楷體" w:cs="標楷體"/>
        </w:rPr>
        <w:t>□</w:t>
      </w:r>
      <w:r>
        <w:rPr>
          <w:rFonts w:hint="eastAsia" w:ascii="標楷體" w:hAnsi="標楷體" w:eastAsia="標楷體" w:cs="標楷體"/>
        </w:rPr>
        <w:t xml:space="preserve">藝術  </w:t>
      </w:r>
      <w:r>
        <w:rPr>
          <w:rFonts w:ascii="Times New Roman" w:hAnsi="Times New Roman" w:eastAsia="標楷體" w:cs="Times New Roman"/>
        </w:rPr>
        <w:t>7.</w:t>
      </w:r>
      <w:r>
        <w:rPr>
          <w:rFonts w:hint="eastAsia" w:ascii="標楷體" w:hAnsi="標楷體" w:eastAsia="標楷體" w:cs="標楷體"/>
          <w:sz w:val="24"/>
          <w:szCs w:val="24"/>
        </w:rPr>
        <w:t>■</w:t>
      </w:r>
      <w:r>
        <w:rPr>
          <w:rFonts w:hint="eastAsia" w:ascii="標楷體" w:hAnsi="標楷體" w:eastAsia="標楷體" w:cs="標楷體"/>
        </w:rPr>
        <w:t xml:space="preserve">自然科學 </w:t>
      </w:r>
      <w:r>
        <w:rPr>
          <w:rFonts w:ascii="Times New Roman" w:hAnsi="Times New Roman" w:eastAsia="標楷體" w:cs="Times New Roman"/>
        </w:rPr>
        <w:t>8.</w:t>
      </w:r>
      <w:r>
        <w:rPr>
          <w:rFonts w:ascii="標楷體" w:hAnsi="標楷體" w:eastAsia="標楷體" w:cs="標楷體"/>
        </w:rPr>
        <w:t>□</w:t>
      </w:r>
      <w:r>
        <w:rPr>
          <w:rFonts w:hint="eastAsia" w:ascii="標楷體" w:hAnsi="標楷體" w:eastAsia="標楷體" w:cs="標楷體"/>
        </w:rPr>
        <w:t xml:space="preserve">科技  </w:t>
      </w:r>
      <w:r>
        <w:rPr>
          <w:rFonts w:ascii="Times New Roman" w:hAnsi="Times New Roman" w:eastAsia="標楷體" w:cs="Times New Roman"/>
        </w:rPr>
        <w:t>9.</w:t>
      </w:r>
      <w:r>
        <w:rPr>
          <w:rFonts w:ascii="標楷體" w:hAnsi="標楷體" w:eastAsia="標楷體" w:cs="標楷體"/>
        </w:rPr>
        <w:t>□</w:t>
      </w:r>
      <w:r>
        <w:rPr>
          <w:rFonts w:hint="eastAsia" w:ascii="標楷體" w:hAnsi="標楷體" w:eastAsia="標楷體" w:cs="標楷體"/>
        </w:rPr>
        <w:t>綜合活動</w:t>
      </w:r>
    </w:p>
    <w:p>
      <w:pPr>
        <w:pStyle w:val="12"/>
        <w:spacing w:line="360" w:lineRule="auto"/>
      </w:pPr>
      <w:r>
        <w:rPr>
          <w:rFonts w:hint="eastAsia" w:ascii="標楷體" w:hAnsi="標楷體" w:eastAsia="標楷體" w:cs="標楷體"/>
        </w:rPr>
        <w:t xml:space="preserve">    </w:t>
      </w:r>
      <w:r>
        <w:rPr>
          <w:rFonts w:ascii="Times New Roman" w:hAnsi="Times New Roman" w:eastAsia="標楷體" w:cs="Times New Roman"/>
        </w:rPr>
        <w:t>10.</w:t>
      </w:r>
      <w:r>
        <w:rPr>
          <w:rFonts w:hint="eastAsia"/>
        </w:rPr>
        <w:t>□</w:t>
      </w:r>
      <w:r>
        <w:rPr>
          <w:rFonts w:hint="eastAsia" w:ascii="標楷體" w:hAnsi="標楷體" w:eastAsia="標楷體"/>
        </w:rPr>
        <w:t xml:space="preserve">閩南語文 </w:t>
      </w:r>
      <w:r>
        <w:rPr>
          <w:rFonts w:ascii="Times New Roman" w:hAnsi="Times New Roman" w:eastAsia="標楷體" w:cs="Times New Roman"/>
        </w:rPr>
        <w:t>11.</w:t>
      </w:r>
      <w:r>
        <w:rPr>
          <w:rFonts w:hint="eastAsia" w:ascii="標楷體" w:hAnsi="標楷體" w:eastAsia="標楷體" w:cs="Times New Roman"/>
        </w:rPr>
        <w:t>□</w:t>
      </w:r>
      <w:r>
        <w:rPr>
          <w:rFonts w:hint="eastAsia" w:ascii="標楷體" w:hAnsi="標楷體" w:eastAsia="標楷體"/>
        </w:rPr>
        <w:t xml:space="preserve">客家語文 </w:t>
      </w:r>
      <w:r>
        <w:rPr>
          <w:rFonts w:ascii="Times New Roman" w:hAnsi="Times New Roman" w:eastAsia="標楷體" w:cs="Times New Roman"/>
        </w:rPr>
        <w:t>12.</w:t>
      </w:r>
      <w:r>
        <w:rPr>
          <w:rFonts w:hint="eastAsia" w:ascii="標楷體" w:hAnsi="標楷體" w:eastAsia="標楷體" w:cs="Times New Roman"/>
        </w:rPr>
        <w:t>□</w:t>
      </w:r>
      <w:r>
        <w:rPr>
          <w:rFonts w:hint="eastAsia" w:ascii="標楷體" w:hAnsi="標楷體" w:eastAsia="標楷體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hint="eastAsia" w:ascii="標楷體" w:hAnsi="標楷體" w:eastAsia="標楷體"/>
        </w:rPr>
        <w:t xml:space="preserve">族 </w:t>
      </w:r>
      <w:r>
        <w:rPr>
          <w:rFonts w:ascii="Times New Roman" w:hAnsi="Times New Roman" w:eastAsia="標楷體" w:cs="Times New Roman"/>
        </w:rPr>
        <w:t>13.</w:t>
      </w:r>
      <w:r>
        <w:rPr>
          <w:rFonts w:hint="eastAsia" w:ascii="標楷體" w:hAnsi="標楷體" w:eastAsia="標楷體" w:cs="Times New Roman"/>
        </w:rPr>
        <w:t>□</w:t>
      </w:r>
      <w:r>
        <w:rPr>
          <w:rFonts w:hint="eastAsia" w:ascii="標楷體" w:hAnsi="標楷體" w:eastAsia="標楷體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hint="eastAsia" w:ascii="標楷體" w:hAnsi="標楷體" w:eastAsia="標楷體"/>
        </w:rPr>
        <w:t xml:space="preserve">語  </w:t>
      </w:r>
      <w:r>
        <w:rPr>
          <w:rFonts w:ascii="Times New Roman" w:hAnsi="Times New Roman" w:eastAsia="標楷體" w:cs="Times New Roman"/>
        </w:rPr>
        <w:t xml:space="preserve">14. </w:t>
      </w:r>
      <w:r>
        <w:rPr>
          <w:rFonts w:hint="eastAsia" w:ascii="標楷體" w:hAnsi="標楷體" w:eastAsia="標楷體" w:cs="Times New Roman"/>
        </w:rPr>
        <w:t>□臺灣手語</w:t>
      </w:r>
    </w:p>
    <w:p>
      <w:pPr>
        <w:pStyle w:val="45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Chars="0"/>
        <w:rPr>
          <w:rFonts w:ascii="標楷體" w:hAnsi="標楷體" w:eastAsia="標楷體" w:cs="標楷體"/>
          <w:sz w:val="24"/>
          <w:szCs w:val="24"/>
          <w:u w:val="single"/>
        </w:rPr>
      </w:pPr>
      <w:r>
        <w:rPr>
          <w:rFonts w:hint="eastAsia" w:ascii="標楷體" w:hAnsi="標楷體" w:eastAsia="標楷體" w:cs="標楷體"/>
          <w:b/>
          <w:sz w:val="24"/>
          <w:szCs w:val="24"/>
        </w:rPr>
        <w:t>學習節數：</w:t>
      </w:r>
      <w:r>
        <w:rPr>
          <w:rFonts w:eastAsia="標楷體"/>
          <w:sz w:val="24"/>
          <w:szCs w:val="24"/>
        </w:rPr>
        <w:t>每週(</w:t>
      </w:r>
      <w:r>
        <w:rPr>
          <w:rFonts w:eastAsia="標楷體"/>
          <w:b/>
          <w:sz w:val="24"/>
          <w:szCs w:val="24"/>
        </w:rPr>
        <w:t xml:space="preserve"> </w:t>
      </w:r>
      <w:r>
        <w:rPr>
          <w:rFonts w:hint="eastAsia" w:eastAsia="標楷體"/>
          <w:b/>
          <w:sz w:val="24"/>
          <w:szCs w:val="24"/>
          <w:lang w:val="en-US" w:eastAsia="zh-TW"/>
        </w:rPr>
        <w:t>3</w:t>
      </w:r>
      <w:r>
        <w:rPr>
          <w:rFonts w:eastAsia="標楷體"/>
          <w:b/>
          <w:sz w:val="24"/>
          <w:szCs w:val="24"/>
        </w:rPr>
        <w:t xml:space="preserve"> </w:t>
      </w:r>
      <w:r>
        <w:rPr>
          <w:rFonts w:eastAsia="標楷體"/>
          <w:sz w:val="24"/>
          <w:szCs w:val="24"/>
        </w:rPr>
        <w:t>)節，實施(</w:t>
      </w:r>
      <w:r>
        <w:rPr>
          <w:rFonts w:eastAsia="標楷體"/>
          <w:b/>
          <w:sz w:val="24"/>
          <w:szCs w:val="24"/>
        </w:rPr>
        <w:t xml:space="preserve"> 2</w:t>
      </w:r>
      <w:r>
        <w:rPr>
          <w:rFonts w:hint="eastAsia" w:eastAsia="標楷體"/>
          <w:b/>
          <w:sz w:val="24"/>
          <w:szCs w:val="24"/>
        </w:rPr>
        <w:t>2</w:t>
      </w:r>
      <w:r>
        <w:rPr>
          <w:rFonts w:eastAsia="標楷體"/>
          <w:sz w:val="24"/>
          <w:szCs w:val="24"/>
        </w:rPr>
        <w:t xml:space="preserve"> )週，共(</w:t>
      </w:r>
      <w:r>
        <w:rPr>
          <w:rFonts w:eastAsia="標楷體"/>
          <w:b/>
          <w:sz w:val="24"/>
          <w:szCs w:val="24"/>
        </w:rPr>
        <w:t xml:space="preserve"> </w:t>
      </w:r>
      <w:r>
        <w:rPr>
          <w:rFonts w:hint="eastAsia" w:eastAsia="標楷體"/>
          <w:b/>
          <w:sz w:val="24"/>
          <w:szCs w:val="24"/>
          <w:lang w:val="en-US" w:eastAsia="zh-TW"/>
        </w:rPr>
        <w:t>66</w:t>
      </w:r>
      <w:r>
        <w:rPr>
          <w:rFonts w:eastAsia="標楷體"/>
          <w:b/>
          <w:sz w:val="24"/>
          <w:szCs w:val="24"/>
        </w:rPr>
        <w:t xml:space="preserve"> </w:t>
      </w:r>
      <w:r>
        <w:rPr>
          <w:rFonts w:eastAsia="標楷體"/>
          <w:sz w:val="24"/>
          <w:szCs w:val="24"/>
        </w:rPr>
        <w:t>)節。</w:t>
      </w:r>
    </w:p>
    <w:p>
      <w:pPr>
        <w:pStyle w:val="45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980"/>
        </w:tabs>
        <w:spacing w:line="360" w:lineRule="auto"/>
        <w:ind w:leftChars="0"/>
        <w:rPr>
          <w:rFonts w:ascii="標楷體" w:hAnsi="標楷體" w:eastAsia="標楷體" w:cs="標楷體"/>
          <w:sz w:val="24"/>
          <w:szCs w:val="24"/>
        </w:rPr>
      </w:pPr>
      <w:r>
        <w:rPr>
          <w:rFonts w:ascii="標楷體" w:hAnsi="標楷體" w:eastAsia="標楷體" w:cs="標楷體"/>
          <w:b/>
          <w:sz w:val="24"/>
          <w:szCs w:val="24"/>
        </w:rPr>
        <w:t>課程內涵：</w:t>
      </w:r>
      <w:r>
        <w:rPr>
          <w:rFonts w:ascii="標楷體" w:hAnsi="標楷體" w:eastAsia="標楷體" w:cs="標楷體"/>
          <w:sz w:val="24"/>
          <w:szCs w:val="24"/>
        </w:rPr>
        <w:tab/>
      </w:r>
    </w:p>
    <w:tbl>
      <w:tblPr>
        <w:tblStyle w:val="15"/>
        <w:tblW w:w="1454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1"/>
        <w:gridCol w:w="114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color="000000" w:sz="8" w:space="0"/>
              <w:right w:val="single" w:color="000000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學習</w:t>
            </w: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新細明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eastAsia="標楷體"/>
                <w:color w:val="auto"/>
                <w:sz w:val="24"/>
                <w:szCs w:val="24"/>
              </w:rPr>
              <w:t>A1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身心素質與自我精進</w:t>
            </w:r>
          </w:p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新細明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eastAsia="標楷體"/>
                <w:color w:val="auto"/>
                <w:sz w:val="24"/>
                <w:szCs w:val="24"/>
              </w:rPr>
              <w:t>A2</w:t>
            </w:r>
            <w:r>
              <w:rPr>
                <w:rFonts w:hint="eastAsia" w:ascii="標楷體" w:hAnsi="標楷體" w:eastAsia="標楷體"/>
                <w:color w:val="auto"/>
                <w:sz w:val="24"/>
                <w:szCs w:val="24"/>
              </w:rPr>
              <w:t>系統思考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與解決問題</w:t>
            </w:r>
          </w:p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新細明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eastAsia="標楷體"/>
                <w:color w:val="auto"/>
                <w:sz w:val="24"/>
                <w:szCs w:val="24"/>
              </w:rPr>
              <w:t>A3</w:t>
            </w:r>
            <w:r>
              <w:rPr>
                <w:rFonts w:hint="eastAsia" w:ascii="標楷體" w:hAnsi="標楷體" w:eastAsia="標楷體"/>
                <w:color w:val="auto"/>
                <w:sz w:val="24"/>
                <w:szCs w:val="24"/>
              </w:rPr>
              <w:t>規劃執行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與創新應變</w:t>
            </w:r>
          </w:p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新細明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eastAsia="標楷體"/>
                <w:color w:val="auto"/>
                <w:sz w:val="24"/>
                <w:szCs w:val="24"/>
              </w:rPr>
              <w:t>B1</w:t>
            </w:r>
            <w:r>
              <w:rPr>
                <w:rFonts w:hint="eastAsia" w:ascii="標楷體" w:hAnsi="標楷體" w:eastAsia="標楷體"/>
                <w:color w:val="auto"/>
                <w:sz w:val="24"/>
                <w:szCs w:val="24"/>
              </w:rPr>
              <w:t>符號運用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與溝通表達</w:t>
            </w:r>
          </w:p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新細明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eastAsia="標楷體"/>
                <w:color w:val="auto"/>
                <w:sz w:val="24"/>
                <w:szCs w:val="24"/>
              </w:rPr>
              <w:t>B2</w:t>
            </w:r>
            <w:r>
              <w:rPr>
                <w:rFonts w:hint="eastAsia" w:ascii="標楷體" w:hAnsi="標楷體" w:eastAsia="標楷體"/>
                <w:color w:val="auto"/>
                <w:sz w:val="24"/>
                <w:szCs w:val="24"/>
              </w:rPr>
              <w:t>科技資訊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與媒體素養</w:t>
            </w:r>
          </w:p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新細明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eastAsia="標楷體"/>
                <w:color w:val="auto"/>
                <w:sz w:val="24"/>
                <w:szCs w:val="24"/>
              </w:rPr>
              <w:t>B3</w:t>
            </w:r>
            <w:r>
              <w:rPr>
                <w:rFonts w:hint="eastAsia" w:ascii="標楷體" w:hAnsi="標楷體" w:eastAsia="標楷體"/>
                <w:color w:val="auto"/>
                <w:sz w:val="24"/>
                <w:szCs w:val="24"/>
              </w:rPr>
              <w:t>藝術涵養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與美感素養</w:t>
            </w:r>
          </w:p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新細明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eastAsia="標楷體"/>
                <w:color w:val="auto"/>
                <w:sz w:val="24"/>
                <w:szCs w:val="24"/>
              </w:rPr>
              <w:t>C1</w:t>
            </w:r>
            <w:r>
              <w:rPr>
                <w:rFonts w:hint="eastAsia" w:ascii="標楷體" w:hAnsi="標楷體" w:eastAsia="標楷體"/>
                <w:color w:val="auto"/>
                <w:sz w:val="24"/>
                <w:szCs w:val="24"/>
              </w:rPr>
              <w:t>道德實踐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與公民意識</w:t>
            </w:r>
          </w:p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新細明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eastAsia="標楷體"/>
                <w:color w:val="auto"/>
                <w:sz w:val="24"/>
                <w:szCs w:val="24"/>
              </w:rPr>
              <w:t>C2</w:t>
            </w:r>
            <w:r>
              <w:rPr>
                <w:rFonts w:hint="eastAsia" w:ascii="標楷體" w:hAnsi="標楷體" w:eastAsia="標楷體"/>
                <w:color w:val="auto"/>
                <w:sz w:val="24"/>
                <w:szCs w:val="24"/>
              </w:rPr>
              <w:t>人際關係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與團隊合作</w:t>
            </w:r>
          </w:p>
          <w:p>
            <w:pPr>
              <w:autoSpaceDE w:val="0"/>
              <w:autoSpaceDN w:val="0"/>
              <w:adjustRightInd w:val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新細明體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eastAsia="標楷體"/>
                <w:color w:val="auto"/>
                <w:sz w:val="24"/>
                <w:szCs w:val="24"/>
              </w:rPr>
              <w:t>C3</w:t>
            </w:r>
            <w:r>
              <w:rPr>
                <w:rFonts w:hint="eastAsia" w:ascii="標楷體" w:hAnsi="標楷體" w:eastAsia="標楷體"/>
                <w:color w:val="auto"/>
                <w:sz w:val="24"/>
                <w:szCs w:val="24"/>
              </w:rPr>
              <w:t>多元文化</w:t>
            </w:r>
            <w:r>
              <w:rPr>
                <w:rFonts w:hint="eastAsia" w:ascii="標楷體" w:hAnsi="標楷體" w:eastAsia="標楷體" w:cs="新細明體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r>
              <w:rPr>
                <w:rFonts w:ascii="標楷體" w:hAnsi="標楷體" w:eastAsia="標楷體"/>
                <w:color w:val="auto"/>
                <w:sz w:val="24"/>
                <w:szCs w:val="24"/>
                <w:shd w:val="clear" w:color="auto" w:fill="FFFFFF"/>
              </w:rPr>
              <w:t>自-J-A2 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>
            <w:r>
              <w:rPr>
                <w:rFonts w:ascii="標楷體" w:hAnsi="標楷體" w:eastAsia="標楷體"/>
                <w:color w:val="auto"/>
                <w:sz w:val="24"/>
                <w:szCs w:val="24"/>
                <w:shd w:val="clear" w:color="auto" w:fill="FFFFFF"/>
              </w:rPr>
              <w:t>自-J-B2 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>
            <w:pPr>
              <w:pStyle w:val="12"/>
              <w:snapToGrid w:val="0"/>
              <w:spacing w:before="0" w:beforeAutospacing="0" w:after="0" w:afterAutospacing="0" w:line="240" w:lineRule="atLeast"/>
              <w:rPr>
                <w:rFonts w:hint="eastAsia" w:ascii="標楷體" w:hAnsi="標楷體" w:eastAsia="標楷體" w:cs="標楷體"/>
                <w:color w:val="FF0000"/>
              </w:rPr>
            </w:pPr>
            <w:r>
              <w:rPr>
                <w:rFonts w:ascii="標楷體" w:hAnsi="標楷體" w:eastAsia="標楷體"/>
                <w:color w:val="auto"/>
                <w:sz w:val="24"/>
                <w:szCs w:val="24"/>
                <w:shd w:val="clear" w:color="auto" w:fill="FFFFFF"/>
              </w:rPr>
              <w:t>自-J-C3 透過環境相關議題的學習，能了解全球自然環境具有差異性與互動性，並能發展出自我文化認同與身為地球公民的價值觀。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firstLine="0"/>
        <w:rPr>
          <w:rFonts w:ascii="標楷體" w:hAnsi="標楷體" w:eastAsia="標楷體" w:cs="新細明體"/>
          <w:color w:val="FF0000"/>
          <w:sz w:val="24"/>
          <w:szCs w:val="24"/>
          <w:u w:val="single"/>
        </w:rPr>
      </w:pPr>
    </w:p>
    <w:p>
      <w:pPr>
        <w:pStyle w:val="45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ind w:leftChars="0"/>
        <w:rPr>
          <w:rFonts w:ascii="標楷體" w:hAnsi="標楷體" w:eastAsia="標楷體" w:cs="標楷體"/>
          <w:color w:val="2E75B6" w:themeColor="accent1" w:themeShade="BF"/>
          <w:sz w:val="24"/>
          <w:szCs w:val="24"/>
        </w:rPr>
      </w:pPr>
      <w:r>
        <w:rPr>
          <w:rFonts w:ascii="標楷體" w:hAnsi="標楷體" w:eastAsia="標楷體" w:cs="標楷體"/>
          <w:b/>
          <w:sz w:val="24"/>
          <w:szCs w:val="24"/>
        </w:rPr>
        <w:t>課程架構：</w:t>
      </w:r>
      <w:r>
        <w:rPr>
          <w:rFonts w:hint="eastAsia" w:ascii="標楷體" w:hAnsi="標楷體" w:eastAsia="標楷體" w:cs="標楷體"/>
          <w:b/>
          <w:color w:val="FF0000"/>
          <w:sz w:val="24"/>
          <w:szCs w:val="24"/>
        </w:rPr>
        <w:t>(自行視需要決定是否呈現，但不可刪除。)</w:t>
      </w:r>
    </w:p>
    <w:p>
      <w:pPr>
        <w:spacing w:line="0" w:lineRule="atLeast"/>
        <w:rPr>
          <w:rFonts w:ascii="標楷體" w:hAnsi="標楷體" w:eastAsia="標楷體" w:cs="標楷體"/>
          <w:sz w:val="24"/>
          <w:szCs w:val="24"/>
        </w:rPr>
      </w:pPr>
      <w:r>
        <w:rPr>
          <w:rFonts w:eastAsia="標楷體"/>
          <w:snapToGrid w:val="0"/>
          <w:color w:val="auto"/>
          <w:sz w:val="24"/>
          <w:szCs w:val="24"/>
          <w:bdr w:val="single" w:color="auto" w:sz="4" w:space="0"/>
        </w:rPr>
        <w:t>基本測量</w:t>
      </w:r>
      <w:r>
        <w:rPr>
          <w:rFonts w:eastAsia="標楷體"/>
          <w:snapToGrid w:val="0"/>
          <w:color w:val="auto"/>
          <w:sz w:val="24"/>
          <w:szCs w:val="24"/>
        </w:rPr>
        <w:sym w:font="Wingdings" w:char="F0E8"/>
      </w:r>
      <w:r>
        <w:rPr>
          <w:rFonts w:eastAsia="標楷體"/>
          <w:snapToGrid w:val="0"/>
          <w:color w:val="auto"/>
          <w:sz w:val="24"/>
          <w:szCs w:val="24"/>
          <w:bdr w:val="single" w:color="auto" w:sz="4" w:space="0"/>
        </w:rPr>
        <w:t>物質的世界</w:t>
      </w:r>
      <w:r>
        <w:rPr>
          <w:rFonts w:eastAsia="標楷體"/>
          <w:snapToGrid w:val="0"/>
          <w:color w:val="auto"/>
          <w:sz w:val="24"/>
          <w:szCs w:val="24"/>
        </w:rPr>
        <w:t xml:space="preserve"> </w:t>
      </w:r>
      <w:r>
        <w:rPr>
          <w:rFonts w:eastAsia="標楷體"/>
          <w:snapToGrid w:val="0"/>
          <w:color w:val="auto"/>
          <w:sz w:val="24"/>
          <w:szCs w:val="24"/>
        </w:rPr>
        <w:sym w:font="Wingdings" w:char="F0E8"/>
      </w:r>
      <w:r>
        <w:rPr>
          <w:rFonts w:eastAsia="標楷體"/>
          <w:snapToGrid w:val="0"/>
          <w:color w:val="auto"/>
          <w:sz w:val="24"/>
          <w:szCs w:val="24"/>
        </w:rPr>
        <w:t xml:space="preserve"> </w:t>
      </w:r>
      <w:r>
        <w:rPr>
          <w:rFonts w:eastAsia="標楷體"/>
          <w:snapToGrid w:val="0"/>
          <w:color w:val="auto"/>
          <w:sz w:val="24"/>
          <w:szCs w:val="24"/>
          <w:bdr w:val="single" w:color="auto" w:sz="4" w:space="0"/>
        </w:rPr>
        <w:t>波動與聲音</w:t>
      </w:r>
      <w:r>
        <w:rPr>
          <w:rFonts w:eastAsia="標楷體"/>
          <w:snapToGrid w:val="0"/>
          <w:color w:val="auto"/>
          <w:sz w:val="24"/>
          <w:szCs w:val="24"/>
        </w:rPr>
        <w:sym w:font="Wingdings" w:char="F0E8"/>
      </w:r>
      <w:r>
        <w:rPr>
          <w:rFonts w:eastAsia="標楷體"/>
          <w:snapToGrid w:val="0"/>
          <w:color w:val="auto"/>
          <w:sz w:val="24"/>
          <w:szCs w:val="24"/>
        </w:rPr>
        <w:t xml:space="preserve"> </w:t>
      </w:r>
      <w:r>
        <w:rPr>
          <w:rFonts w:hint="eastAsia" w:eastAsia="標楷體"/>
          <w:snapToGrid w:val="0"/>
          <w:color w:val="auto"/>
          <w:sz w:val="24"/>
          <w:szCs w:val="24"/>
        </w:rPr>
        <w:t xml:space="preserve">  </w:t>
      </w:r>
      <w:r>
        <w:rPr>
          <w:rFonts w:eastAsia="標楷體"/>
          <w:snapToGrid w:val="0"/>
          <w:color w:val="auto"/>
          <w:sz w:val="24"/>
          <w:szCs w:val="24"/>
          <w:bdr w:val="single" w:color="auto" w:sz="4" w:space="0"/>
        </w:rPr>
        <w:t>光</w:t>
      </w:r>
      <w:r>
        <w:rPr>
          <w:rFonts w:hint="eastAsia" w:eastAsia="標楷體"/>
          <w:snapToGrid w:val="0"/>
          <w:color w:val="auto"/>
          <w:sz w:val="24"/>
          <w:szCs w:val="24"/>
          <w:bdr w:val="single" w:color="auto" w:sz="4" w:space="0"/>
          <w:lang w:eastAsia="zh-TW"/>
        </w:rPr>
        <w:t>、影像與顏色</w:t>
      </w:r>
      <w:r>
        <w:rPr>
          <w:rFonts w:hint="eastAsia" w:eastAsia="標楷體"/>
          <w:snapToGrid w:val="0"/>
          <w:color w:val="auto"/>
          <w:sz w:val="24"/>
          <w:szCs w:val="24"/>
          <w:bdr w:val="single" w:color="auto" w:sz="4" w:space="0"/>
        </w:rPr>
        <w:t xml:space="preserve">  </w:t>
      </w:r>
      <w:r>
        <w:rPr>
          <w:rFonts w:eastAsia="標楷體"/>
          <w:snapToGrid w:val="0"/>
          <w:color w:val="auto"/>
          <w:sz w:val="24"/>
          <w:szCs w:val="24"/>
        </w:rPr>
        <w:sym w:font="Wingdings" w:char="F0E8"/>
      </w:r>
      <w:r>
        <w:rPr>
          <w:rFonts w:eastAsia="標楷體"/>
          <w:snapToGrid w:val="0"/>
          <w:color w:val="auto"/>
          <w:sz w:val="24"/>
          <w:szCs w:val="24"/>
        </w:rPr>
        <w:t xml:space="preserve"> </w:t>
      </w:r>
      <w:r>
        <w:rPr>
          <w:rFonts w:eastAsia="標楷體"/>
          <w:snapToGrid w:val="0"/>
          <w:color w:val="auto"/>
          <w:sz w:val="24"/>
          <w:szCs w:val="24"/>
          <w:bdr w:val="single" w:color="auto" w:sz="4" w:space="0"/>
        </w:rPr>
        <w:t>溫度與熱</w:t>
      </w:r>
      <w:r>
        <w:rPr>
          <w:rFonts w:eastAsia="標楷體"/>
          <w:snapToGrid w:val="0"/>
          <w:color w:val="auto"/>
          <w:sz w:val="24"/>
          <w:szCs w:val="24"/>
        </w:rPr>
        <w:sym w:font="Wingdings" w:char="F0E8"/>
      </w:r>
      <w:r>
        <w:rPr>
          <w:rFonts w:eastAsia="標楷體"/>
          <w:snapToGrid w:val="0"/>
          <w:color w:val="auto"/>
          <w:sz w:val="24"/>
          <w:szCs w:val="24"/>
        </w:rPr>
        <w:t xml:space="preserve"> </w:t>
      </w:r>
      <w:r>
        <w:rPr>
          <w:rFonts w:hint="eastAsia" w:eastAsia="標楷體"/>
          <w:snapToGrid w:val="0"/>
          <w:color w:val="auto"/>
          <w:sz w:val="24"/>
          <w:szCs w:val="24"/>
          <w:bdr w:val="single" w:color="auto" w:sz="4" w:space="0"/>
        </w:rPr>
        <w:t>物</w:t>
      </w:r>
      <w:r>
        <w:rPr>
          <w:rFonts w:eastAsia="標楷體"/>
          <w:snapToGrid w:val="0"/>
          <w:color w:val="auto"/>
          <w:sz w:val="24"/>
          <w:szCs w:val="24"/>
          <w:bdr w:val="single" w:color="auto" w:sz="4" w:space="0"/>
        </w:rPr>
        <w:t>質</w:t>
      </w:r>
      <w:r>
        <w:rPr>
          <w:rFonts w:hint="eastAsia" w:eastAsia="標楷體"/>
          <w:snapToGrid w:val="0"/>
          <w:color w:val="auto"/>
          <w:sz w:val="24"/>
          <w:szCs w:val="24"/>
          <w:bdr w:val="single" w:color="auto" w:sz="4" w:space="0"/>
          <w:lang w:eastAsia="zh-TW"/>
        </w:rPr>
        <w:t>的基本結構</w:t>
      </w:r>
    </w:p>
    <w:p>
      <w:pPr>
        <w:spacing w:line="0" w:lineRule="atLeast"/>
        <w:rPr>
          <w:rFonts w:ascii="標楷體" w:hAnsi="標楷體" w:eastAsia="標楷體" w:cs="標楷體"/>
          <w:sz w:val="24"/>
          <w:szCs w:val="24"/>
        </w:rPr>
      </w:pPr>
    </w:p>
    <w:p>
      <w:pPr>
        <w:pStyle w:val="45"/>
        <w:numPr>
          <w:ilvl w:val="0"/>
          <w:numId w:val="1"/>
        </w:numPr>
        <w:spacing w:line="0" w:lineRule="atLeast"/>
        <w:ind w:leftChars="0"/>
        <w:rPr>
          <w:rFonts w:ascii="標楷體" w:hAnsi="標楷體" w:eastAsia="標楷體" w:cs="標楷體"/>
          <w:b/>
          <w:color w:val="FF0000"/>
          <w:sz w:val="24"/>
          <w:szCs w:val="24"/>
        </w:rPr>
      </w:pPr>
      <w:r>
        <w:rPr>
          <w:rFonts w:ascii="標楷體" w:hAnsi="標楷體" w:eastAsia="標楷體" w:cs="標楷體"/>
          <w:b/>
          <w:sz w:val="24"/>
          <w:szCs w:val="24"/>
        </w:rPr>
        <w:t>素養導向教學規劃：</w:t>
      </w:r>
    </w:p>
    <w:tbl>
      <w:tblPr>
        <w:tblStyle w:val="15"/>
        <w:tblW w:w="1507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tLeast"/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第一週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8/30開學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ah-IV-2 應用所學到的科學知識與科學探究方法，幫助自己做出最佳的決定。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bCs/>
                <w:snapToGrid w:val="0"/>
                <w:color w:val="auto"/>
                <w:sz w:val="22"/>
                <w:szCs w:val="22"/>
              </w:rPr>
              <w:t>Ea-IV-1 時間、長度、質量等為基本物理量，經由計算可得到密度、體積等衍伸物理量。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bCs/>
                <w:snapToGrid w:val="0"/>
                <w:color w:val="auto"/>
                <w:sz w:val="22"/>
                <w:szCs w:val="22"/>
              </w:rPr>
              <w:t>Ea-IV-2 以適當的尺度量測或推估物理量，例如：奈米到光年、毫克到公噸、毫升到立方公尺等。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bCs/>
                <w:snapToGrid w:val="0"/>
                <w:color w:val="auto"/>
                <w:sz w:val="22"/>
                <w:szCs w:val="22"/>
              </w:rPr>
              <w:t>Ea-IV-3 測量時可依工具的最小刻度進行估計。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bCs/>
                <w:snapToGrid w:val="0"/>
                <w:color w:val="auto"/>
                <w:sz w:val="22"/>
                <w:szCs w:val="22"/>
              </w:rPr>
              <w:t>INc-IV-2 對應不同尺度，各有適用的單位（以長單位為例），尺度大小可以使用科學記號來表達。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bCs/>
                <w:snapToGrid w:val="0"/>
                <w:color w:val="auto"/>
                <w:sz w:val="22"/>
                <w:szCs w:val="22"/>
              </w:rPr>
              <w:t>INc-IV-3 測量時要選擇適當的尺度。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第一章基本測量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1-1長度、質量與時間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1.請學生列舉自然現象的規律性，並陳述其想法。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2.讓學生了解實驗與觀察在學習自然科學時，是一項重要的步驟。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3.請學生表達有關自然現象需要觀察與實驗的生活經驗。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4.介紹科學基本量，作為以下諸節的實驗測量之先備知識。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5.以實例來說明物體的質量乃為物體所含量的多寡，並認識一些常見的質量單位。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6.讓學生親自操作天平，並了解天平使用時應注意的事項。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1-2測量與估計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1.使學生了解何謂測量及誤差的概念，進而知道如何表示測量的結果。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2.教導學生估計值的意義，並了解如何估計，進而用來完整表示一個測量的結果。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3.教導學生降低誤差的方法。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1-1長度、質量與時間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ascii="標楷體" w:hAnsi="標楷體" w:eastAsia="標楷體" w:cs="標楷體"/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rPr>
                <w:rFonts w:ascii="標楷體" w:hAnsi="標楷體" w:eastAsia="標楷體" w:cs="標楷體"/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.教具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.電子教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1.觀察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.口頭詢問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54.學習單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國際教育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sz w:val="24"/>
                <w:szCs w:val="24"/>
              </w:rPr>
              <w:t>□</w:t>
            </w: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實施跨領域或跨科目</w:t>
            </w:r>
            <w:r>
              <w:rPr>
                <w:rFonts w:ascii="標楷體" w:hAnsi="標楷體" w:eastAsia="標楷體" w:cs="標楷體"/>
                <w:sz w:val="24"/>
                <w:szCs w:val="24"/>
              </w:rPr>
              <w:t>協同</w:t>
            </w: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教學(需另申請授課鐘點費)</w:t>
            </w:r>
          </w:p>
          <w:p>
            <w:pPr>
              <w:pStyle w:val="45"/>
              <w:numPr>
                <w:ilvl w:val="0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="71" w:leftChars="0" w:hanging="14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協同科目：</w:t>
            </w:r>
          </w:p>
          <w:p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hAnsi="標楷體" w:eastAsia="標楷體" w:cs="標楷體"/>
                <w:sz w:val="24"/>
                <w:szCs w:val="24"/>
                <w:u w:val="single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  <w:u w:val="single"/>
              </w:rPr>
              <w:t xml:space="preserve"> ＿       ＿ </w:t>
            </w:r>
          </w:p>
          <w:p>
            <w:pPr>
              <w:pStyle w:val="45"/>
              <w:numPr>
                <w:ilvl w:val="0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="71" w:leftChars="0" w:hanging="14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協同</w:t>
            </w:r>
            <w:r>
              <w:rPr>
                <w:rFonts w:ascii="標楷體" w:hAnsi="標楷體" w:eastAsia="標楷體" w:cs="標楷體"/>
                <w:sz w:val="24"/>
                <w:szCs w:val="24"/>
              </w:rPr>
              <w:t>節數</w:t>
            </w: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第二週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an-IV-1 察覺到科學的觀察、測量和方法是否具有正當性，是受到社會共同建構的標準所規範。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Ea-IV-1 時間、長度、質量等為基本物理量，經由計算可得到密度、體積等衍伸物理量。</w:t>
            </w:r>
          </w:p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Ea-IV-2 以適當的尺度量測或推估物理量，例如：奈米到光年、毫克到公噸、毫升到立方公尺等。</w:t>
            </w:r>
          </w:p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INc-IV-2 對應不同尺度，各有適用的單位（以長度單位為例），尺度大小可以使用科學記號來表達。</w:t>
            </w:r>
          </w:p>
          <w:p>
            <w:pPr>
              <w:pStyle w:val="51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INc-IV-3 測量時要選擇適當的尺度。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第一章基本測量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1-3體積與密度的測量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1.教導學生測量物體的體積，並了解排水法的使用時機及其限制。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2.舉不同的事例：體積與重量之間的關係比較，請學生回答，藉以引起學習的動機。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2.請學生利用排水法及天平，仔細測量鋁塊的體積與質量。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3.由學生找出質量和體積兩者實驗數據間的關係。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4.介紹密度的意義。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5.學生需熟悉體積、質量與密度三者之間的關係。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6.由前面的實驗，讓學生再次驗證概念、原理與實驗三者之間的關係。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ascii="標楷體" w:hAnsi="標楷體" w:eastAsia="標楷體" w:cs="標楷體"/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.實驗1-1器材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.探討活動1-1器材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.實驗影片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6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3.紙筆測驗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.實驗操作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.實驗報告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sz w:val="24"/>
                <w:szCs w:val="24"/>
              </w:rPr>
              <w:t>□</w:t>
            </w: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實施跨領域或跨科目</w:t>
            </w:r>
            <w:r>
              <w:rPr>
                <w:rFonts w:ascii="標楷體" w:hAnsi="標楷體" w:eastAsia="標楷體" w:cs="標楷體"/>
                <w:sz w:val="24"/>
                <w:szCs w:val="24"/>
              </w:rPr>
              <w:t>協同</w:t>
            </w: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教學(需另申請授課鐘點費)</w:t>
            </w:r>
          </w:p>
          <w:p>
            <w:pPr>
              <w:pStyle w:val="45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="71" w:leftChars="0" w:firstLine="0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協同科目：</w:t>
            </w:r>
          </w:p>
          <w:p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hAnsi="標楷體" w:eastAsia="標楷體" w:cs="標楷體"/>
                <w:sz w:val="24"/>
                <w:szCs w:val="24"/>
                <w:u w:val="single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  <w:u w:val="single"/>
              </w:rPr>
              <w:t xml:space="preserve"> ＿       ＿ </w:t>
            </w:r>
          </w:p>
          <w:p>
            <w:pPr>
              <w:pStyle w:val="45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="71" w:leftChars="0" w:firstLine="0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協同</w:t>
            </w:r>
            <w:r>
              <w:rPr>
                <w:rFonts w:ascii="標楷體" w:hAnsi="標楷體" w:eastAsia="標楷體" w:cs="標楷體"/>
                <w:sz w:val="24"/>
                <w:szCs w:val="24"/>
              </w:rPr>
              <w:t>節數</w:t>
            </w:r>
            <w:r>
              <w:rPr>
                <w:rFonts w:hint="eastAsia" w:ascii="標楷體" w:hAnsi="標楷體" w:eastAsia="標楷體" w:cs="標楷體"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  <w:u w:val="single"/>
              </w:rPr>
              <w:t>＿      ＿＿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第三週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ah-IV-2 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Ab-IV-1 物質的粒子模型與物質三態。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Ab-IV-2 溫度會影響物質的狀態。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Ab-IV-3 物質的物理性質與化學性質。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Ab-IV-4 物質依是否可用物理方法分離，可分為純物質和混合物。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第二章物質的世界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2-1認識物質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1.介紹三態變化的專有名詞，並舉出生活中常見例子，讓學生了解「凝固、熔化、汽化、凝結、蒸發、沸騰」等現象。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2.說明一般物質的三態變化及特例，如：乾冰昇華、樟腦丸。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3.以常見的化學反應為例，請學生說出化學反應可能發生的變化。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4.教師提問引起動機，如地球的大氣組成為何，竟能孕育出各式各樣的生命萬物？自然界生物生存需要何種氣體？介紹常見的混合物─空氣。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5.說明氮氣在生活中的應用。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6.進行實驗2-1，實際了解氧氣的製備與性質。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ascii="標楷體" w:hAnsi="標楷體" w:eastAsia="標楷體" w:cs="標楷體"/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.實驗2-1器材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.實驗影片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2.實驗操作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4.紙筆測驗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第四週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9/16-9/20</w:t>
            </w:r>
          </w:p>
          <w:p>
            <w:pPr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color w:val="auto"/>
                <w:sz w:val="22"/>
                <w:szCs w:val="24"/>
              </w:rPr>
              <w:t>(</w:t>
            </w:r>
            <w:r>
              <w:rPr>
                <w:rFonts w:hint="eastAsia" w:ascii="標楷體" w:hAnsi="標楷體" w:eastAsia="標楷體" w:cs="標楷體"/>
                <w:color w:val="auto"/>
                <w:sz w:val="22"/>
                <w:szCs w:val="24"/>
              </w:rPr>
              <w:t>9/17中秋節)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Jb-IV-4 溶液的概念及重量百分濃度（P%）、百萬分點的表示法（ppm）。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第二章物質的世界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2-2溶液與濃度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1.以日常生活中常見的水溶液為例，來介紹水溶液的概念。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2.以實例介紹重量百分濃度、體積百分濃度、百萬分點的定義與用法。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3.未達飽和狀態的溶液稱為未飽和溶液。在定量溶劑下，對相同溶質所形成的飽和溶液濃度相同，進而介紹出溶解度的概念。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4.配合課本圖片，說明物質的溶解度，除了實驗中溫度、溶劑量的影響外，還受壓力與溶質本身影響。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.電腦、投影機</w:t>
            </w:r>
          </w:p>
          <w:p>
            <w:pPr>
              <w:spacing w:line="260" w:lineRule="exac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3.實驗操作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4.紙筆測驗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環境教育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第五週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ah-IV-2 應用所學到的科學知識與科學探究方法，幫助自己做出最佳的決定。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Ab-IV-4 物質依是否可用物理方法分離，可分為純物質和混合物。</w:t>
            </w:r>
          </w:p>
          <w:p>
            <w:pPr>
              <w:pStyle w:val="51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Ca-IV-1 實驗分離混合物：結晶法、過濾法與簡易濾紙色層分析法。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第二章物質的世界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2-3混合物的分離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1.透過混合物的分離實驗，請學生由實驗中嘗試比較純物質與混合物有哪些異同，老師再引入純物質與混合物概念，且再舉其他例子說明，並做總結。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2.可舉多種純物質與混合物，讓學生嘗試加以分類，並要求學生說明分類的理由，藉以評量學生是否了解相關的概念。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.實驗2-2器材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4.探討活動2-1器材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5.實驗影片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6.電子教科書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.觀察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2.實驗操作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3.口頭詢問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4.紙筆測驗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閱讀素養教育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第六週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ai-IV-2 透過與同儕的討論，分享科學發現的樂趣。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Ka-IV-1 波的特徵，例如：波峰、波谷、波長、頻率、波速、振幅。</w:t>
            </w:r>
          </w:p>
          <w:p>
            <w:pPr>
              <w:pStyle w:val="51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Ka-IV-2 波傳播的類型，例如：橫波和縱波。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第三章波動與聲音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3-1波的傳播與特徵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1.利用可觀察到的現象(水波、繩波、彈簧波、……)和問題來引導學生思考，什麼是「波」及「波動」？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2.由小活動3-1：波的產生及傳播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(1)觀察振動一次所產生的彈簧波(單一波)，同時解釋什麼是「波的行進方向」。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(2)套上髮圈，觀察髮圈只在原處作上下的振動，不隨波形前進的情形，代表波只傳遞波形，不傳送物質。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3.由週期波的外型說明何處是「波峰」、「波谷」、「波長」，由週期波的產生方式及波行說明頻率和週期。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4.討論引導出波速、頻率、波長的關係式，並利用本節的例題立即給予學生作觀念的釐清。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.探討活動3-1器材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.實驗影片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.教用版電子教科書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3.實驗操作</w:t>
            </w:r>
          </w:p>
          <w:p>
            <w:pPr>
              <w:spacing w:line="260" w:lineRule="exact"/>
              <w:ind w:firstLine="23" w:firstLineChars="0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4.實驗報告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.紙筆測驗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第七週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10/7-10/11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eastAsia="標楷體"/>
                <w:color w:val="auto"/>
                <w:sz w:val="22"/>
              </w:rPr>
              <w:t xml:space="preserve"> (10/1</w:t>
            </w:r>
            <w:r>
              <w:rPr>
                <w:rFonts w:hint="eastAsia" w:eastAsia="標楷體"/>
                <w:color w:val="auto"/>
                <w:sz w:val="22"/>
              </w:rPr>
              <w:t>0</w:t>
            </w:r>
            <w:r>
              <w:rPr>
                <w:rFonts w:eastAsia="標楷體"/>
                <w:color w:val="auto"/>
                <w:sz w:val="22"/>
              </w:rPr>
              <w:t>國慶日)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Ka-IV-3 介質的種類、狀態、密度及溫度等因素會影響聲音傳播的速率。</w:t>
            </w:r>
          </w:p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Ka-IV-4 聲波會反射，可以做為測量、傳播等用途。</w:t>
            </w:r>
          </w:p>
          <w:p>
            <w:pPr>
              <w:pStyle w:val="51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Mb-IV-2 科學史上重要發現的過程，以及不同性別、背景、族群者於其中的貢獻。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第三章波動與聲音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3-2聲音的形成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1.由各種聲音現象的觀察及實驗3-1，使學生了解聲音是由物體的振動所產生。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2.再由「波以耳實驗」的歷史說明，使學生知道聲音的傳遞須倚賴介質。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3.說明聲音是聲波，從圖表討論中認識不同的介質傳遞聲音的速率並不相同。一般來說，固體傳聲速率＞液體傳聲速率＞氣體傳聲速率。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.音叉等會發出聲音的物品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.實驗3-1器材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.實驗影片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6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.教用版電子教科書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ind w:firstLine="23" w:firstLineChars="0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2.實驗操作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4.紙筆測驗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第八週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10/14-10/18</w:t>
            </w:r>
          </w:p>
          <w:p>
            <w:pPr>
              <w:ind w:right="-110" w:rightChars="-55" w:firstLine="0"/>
              <w:jc w:val="left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ai-IV-2 透過與同儕的討論，分享科學發現的樂趣。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bCs/>
                <w:snapToGrid w:val="0"/>
                <w:color w:val="auto"/>
                <w:sz w:val="22"/>
                <w:szCs w:val="22"/>
              </w:rPr>
              <w:t>Ka-IV-4 聲波會反射，可以做為測量、傳播等用途。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bCs/>
                <w:snapToGrid w:val="0"/>
                <w:color w:val="auto"/>
                <w:sz w:val="22"/>
                <w:szCs w:val="22"/>
              </w:rPr>
              <w:t>Ka-IV-5 耳朵可以分辨不同的聲音，例如：大小、高低及音色，但人耳聽不到超聲波。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bCs/>
                <w:snapToGrid w:val="0"/>
                <w:color w:val="auto"/>
                <w:sz w:val="22"/>
                <w:szCs w:val="22"/>
              </w:rPr>
              <w:t>Me-IV-7 對聲音的特性做深入的研究可以幫助我們更確實防範噪音的汙染。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第三章波動與聲音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3-3多變的聲音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1.進行小活動3-2，察覺發音體不同造成聲音的差異。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2.若學校有示波器，可進行示範。若無，則利用課文中由示波器顯示的各個聲波圖，來探討比較影響聲音的因素(響度、音調、音色)與波形的關係。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3.區分樂音與噪音的不同，利用示波器分析比較兩者波形的差異。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4.學生討論分享噪音對人的影響及噪音防制的方法。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3-4聲波的傳播與應用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1.由生活的經驗，探討回聲的產生原因及其應用和消除。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2.說明「超聲波」及可利用它來探測海底距離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3-3多變的聲音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1.音叉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2.示波器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3.各式樂器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4.探討活動3-2器材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5.教用版電子教科書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3-4聲波的傳播與應用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1.傳聲筒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2.教用版電子教科書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.實驗操作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4.紙筆測驗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第九週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Ka-IV-6 由針孔成像、影子實驗驗證與說明光的直進性。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Ka-IV-7 光速的大小和影響光速的因素。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第四章光、影像與顏色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4-1光的傳播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1.從「如何能看到物體」開始，讓學生能了解看到發光物體與不會自行發光物體，如何引起視覺，以及影子的產生。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2.教師示範或學生實作針孔成像的活動，以直立於針孔前之三色LED燈具透過針孔，可在螢幕上呈現出倒立的像，請學生親自觀察結果，藉以了解光直進性質，並瞭解實像的成因與意義。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3.學生會利用光線直進的性質，作出光的路徑圖，藉以理解影子的形成。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4.認識光速大小及影響光速的因素。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.探討活動4-1器材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觀察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.口頭詢問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4.學習單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Ka-IV-8 透過實驗探討光的反射與折射規律。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第四章光、影像與顏色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4-2光的反射與面鏡成像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1.認識光的反射現象。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2.進行實驗4-1，理解光的反射定律。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3.可使學生準備塑膠板親自尋找硬幣成像，此時若可將光線由硬幣直接照射至塑膠板，學生可在塑膠板後方畫出與原硬幣左右相反的圖像，而與塑膠板距離相等。學生將可由此活動體驗出平面鏡的成像性質。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4.藉由平面鏡之光的路徑圖，了解平面鏡成像原理及性質，複習第一節所談的「為什麼可以看得見不會發光的物體」，並使學生了解虛像的成因及意義。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5.請學生觀察並說出在凹面鏡前或凸面鏡前成像的情形。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6.接著介紹凹面鏡、凸面鏡的成像原理、性質及應用。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.學習單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.活動紀錄簿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.命題光碟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6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.實驗4-1器材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7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.實驗影片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8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.探討活動4-2器材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9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觀察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2.實驗操作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3.口頭詢問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4.紙筆測驗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5.學習單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6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.作業檢核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第十一週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ai-IV-2 透過與同儕的討論，分享科學發現的樂趣。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Ka-IV-8 透過實驗探討光的反射與折射規律。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第四章光、影像與顏色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4-3光的折射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1.由生活中的折射現象引入，進行探究活動4-3，認識光的折射。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2.解釋人在池邊看游泳池底會比實際深度淺，此均由於光的折射現象。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3.利用光折射的路徑圖，討論說明光在不同介質中速率不同所造成光進行方向的偏轉，而產生折射的現象。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.活動紀錄簿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.探討活動4-3器材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3.實驗操作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4.實驗報告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5.紙筆測驗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第十二週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ah-IV-2 應用所學到的科學知識與科學探究方法，幫助自己做出最佳的決定。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Ka-IV-8 透過實驗探討光的反射與折射規律。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Ka-IV-9 生活中有許多實用光學儀器，如透鏡、面鏡、眼睛、眼鏡、顯微鏡等。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第四章光、影像與顏色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4-4透鏡成像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由於光的折射性質，凸透鏡會產生會聚光線的現象。由操作透鏡成像的實驗，幫助學生了解物體由遠處逐漸靠近凸透鏡時，在透鏡另一側呈現出實像的性質，當物體進入透鏡的焦點內，則會呈現正立的放大虛像。物體越接近焦點，虛像則會逐漸放大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2.由於光的折射性質，凹透鏡會產生發散光線的現象，此時不論物體置於凹透鏡前任何位置，均會產生縮小的正立虛像。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3.藉由日常生活中常見的放大鏡、照相機與眼鏡來說明透鏡成像的應用。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.實驗4-2器材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.實驗影片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3.實驗操作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4.實驗報告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5.紙筆測驗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安全教育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第十三週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Ka-IV-10 陽光經過三稜鏡可以分散成各種色光。</w:t>
            </w:r>
          </w:p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Ka-IV-11 物體的顏色是光選擇性反射的結果。</w:t>
            </w:r>
          </w:p>
          <w:p>
            <w:pPr>
              <w:pStyle w:val="51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Mb-IV-2 科學史上重要發現的過程，以及不同性別、背景、族群者於其中的貢獻。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第四章光、影像與顏色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4-5色散與顏色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1.藉由太陽光照射三稜鏡呈現的色散現象，說明白光由七種不同顏色光組成。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2.讓學生動手做，將不同透明紙包住日光燈產生不同的色光，再分別照射不同的色紙。請學生說出所觀察到的現象，教師引導歸納出物體顏色成因。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.探討活動4-4器材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3.實驗操作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4.實驗報告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5.紙筆測驗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第十四週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11/25-11/29</w:t>
            </w:r>
          </w:p>
          <w:p>
            <w:pPr>
              <w:rPr>
                <w:rFonts w:eastAsia="標楷體"/>
                <w:color w:val="auto"/>
                <w:sz w:val="22"/>
              </w:rPr>
            </w:pPr>
            <w:r>
              <w:rPr>
                <w:rFonts w:eastAsia="標楷體"/>
                <w:color w:val="auto"/>
                <w:sz w:val="22"/>
              </w:rPr>
              <w:t>(暫訂</w:t>
            </w:r>
            <w:r>
              <w:rPr>
                <w:rFonts w:hint="eastAsia" w:eastAsia="標楷體"/>
                <w:color w:val="auto"/>
                <w:sz w:val="22"/>
              </w:rPr>
              <w:t>11/28.29</w:t>
            </w:r>
            <w:r>
              <w:rPr>
                <w:rFonts w:eastAsia="標楷體"/>
                <w:color w:val="auto"/>
                <w:sz w:val="22"/>
              </w:rPr>
              <w:t>第</w:t>
            </w:r>
            <w:r>
              <w:rPr>
                <w:rFonts w:hint="eastAsia" w:eastAsia="標楷體"/>
                <w:color w:val="auto"/>
                <w:sz w:val="22"/>
              </w:rPr>
              <w:t>二</w:t>
            </w:r>
            <w:r>
              <w:rPr>
                <w:rFonts w:eastAsia="標楷體"/>
                <w:color w:val="auto"/>
                <w:sz w:val="22"/>
              </w:rPr>
              <w:t>次期中考)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an-IV-2 分辨科學知識的確定性和持久性，會因科學研究的時空背景不同而有所變化。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Bb-IV-1 熱具有從高溫處傳到低溫處的趨勢。</w:t>
            </w:r>
          </w:p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Bb-IV-5 熱會改變物質形態，例如：狀態產生變化、體積發生脹縮。</w:t>
            </w:r>
          </w:p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Mb-IV-2 科學史上重要發現的過程，以及不同性別、背景、族群者於其中的貢獻。</w:t>
            </w:r>
          </w:p>
          <w:p>
            <w:pPr>
              <w:pStyle w:val="51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Bb-IV-1 熱具有從高溫處傳到低溫處的趨勢。</w:t>
            </w:r>
          </w:p>
          <w:p>
            <w:pPr>
              <w:pStyle w:val="51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eastAsia="標楷體"/>
                <w:color w:val="auto"/>
                <w:sz w:val="22"/>
                <w:szCs w:val="22"/>
              </w:rPr>
              <w:t>Bb-IV-2 透過水升高溫所吸收的熱能定義熱量單位。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第五章溫度與熱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5-1溫度與溫度計、5-2熱量（第二次段考）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1.由學生的日常經驗開始，了解溫度不是個體主動的知覺，而是必須依賴儀器的測量。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2.請學生舉例說明知覺感官會因個體的不同，而有不同的解讀方式。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3.藉由科學史及簡易的實驗活動，讓學生了解溫標的制定，以及溫標除了最常使用的攝氏溫度以外，還有其他溫標，如華氏。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4.由小活動的操作，觀察在相同時間內，由加熱不同質量的水，分析判斷加熱時間、水的質量及上升溫度三者間的關係，並認識熱量單位定義。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5.熱量不只是可由提供熱源(如火焰、陽光)而得，也可藉與高溫物體接觸而得。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6.討論說明不同溫度之兩物體接觸後，熱量如何流動，以及熱平衡的意義。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.探討活動5-1器材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.探討活動5-2器材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3.實驗操作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4.實驗報告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第十五週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Bb-IV-1 熱具有從高溫處傳到低溫處的趨勢。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Bb-IV-3 不同物質受熱後，其溫度的變化可能不同，比熱就是此特性的定量化描述。比熱對物質溫度變化的影響。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Bb-IV-5 熱會改變物質形態，例如：狀態產生變化、體積發生脹縮。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第五章溫度與熱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5-3比熱、5-4熱對物質的影響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1.以生活經驗的事實來引入「比熱」之意義。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2.藉由實驗5-1的結果，分析了解物體溫度升高所需的熱量，與物體質量、上升溫度，以及物體比熱的關係，並認識比熱的定義。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3.討論說明比熱大的物質難熱難冷，比熱小的物質易熱易冷。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本節可由第二章第一節水的性質與三態變化作為基礎，藉由水的三態，請學生說出冰熔化、水凝固、水蒸發、水蒸氣凝結的現象與熱量之間的關係，熔化與蒸發是吸收熱量，凝固與凝結則是釋放出熱量，吸放熱過程中物質的體積、狀態發生變化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.實驗5-1器材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.實驗影片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3.實驗操作</w:t>
            </w:r>
          </w:p>
          <w:p>
            <w:pPr>
              <w:spacing w:line="260" w:lineRule="exact"/>
              <w:ind w:firstLine="23" w:firstLineChars="0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4.實驗報告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6.學習單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第十六週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ah-IV-2 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Bb-IV-1 熱具有從高溫處傳到低溫處的趨勢。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Bb-IV-4 熱的傳播方式包含傳導、對流與輻射。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第五章溫度與熱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5-4熱的傳播方式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1.請學生分組討論並發表：對於在生活經驗中，燒開水為何只加熱壺的底部等現象，藉此了解學生如何詮釋有關熱傳送的現象，以作為教學的參考。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2.進行探究實驗活動，幫助學生了解金屬是熱的良導體，由實驗操作中，讓學生觀察液體在傳送熱的過程中，熱流上升、冷流下降，並觀察物體並未接觸，但仍有熱的傳送，且知道黑色較白色容易吸收熱量。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3.教師適時引入傳導、對流、輻射等名詞概念，然後請學生討論說明生活中相觀現象或應用的原理。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.探討活動5-3器材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.實驗影片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3.實驗操作</w:t>
            </w:r>
          </w:p>
          <w:p>
            <w:pPr>
              <w:spacing w:line="260" w:lineRule="exact"/>
              <w:ind w:firstLine="23" w:firstLineChars="0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4.實驗報告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4.紙筆測驗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第十七週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an-IV-2 分辨科學知識的確定性和持久性，會因科學研究的時空背景不同而有所變化。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Aa-IV-3 純物質包括元素與化合物。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Aa-IV-5 元素與化合物有特定的化學符號表示法。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Mb-IV-2 科學史上重要發現的過程，以及不同性別、背景、族群者於其中的貢獻。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第六章物質的基本結構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6-1元素與化合物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1.可讓學生複習第二章混合物的分離，並詢問學生，分離出來的純物質還能再分離嗎？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2.由科學史說明純物質可再分為元素與化合物。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3.簡單介紹元素的符號及命名方式。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eastAsia="zh-TW"/>
              </w:rPr>
              <w:t>問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.紙筆測驗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eastAsia="zh-TW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4.學習單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第十八週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an-IV-2 分辨科學知識的確定性和持久性，會因科學研究的時空背景不同而有所變化。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Cb-IV-2 元素會因原子排列方式不同而有不同的特性。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Mc-IV-4 常見人造材料的特性、簡單的製造過程及在生活上的應用。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Aa-IV-1 原子模型的發展。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Ja-IV-2 化學反應是原子重新排列。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color w:val="auto"/>
                <w:sz w:val="22"/>
                <w:szCs w:val="22"/>
              </w:rPr>
              <w:t>Mb-IV-2 科學史上重要發現的過程，以及不同性別、背景、族群者於其中的貢獻。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第六章物質的基本結構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6-2生活中常見的元素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1.透過實驗比較，讓學生歸納出金屬元素與非金屬元素間的性質及差異。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2.介紹一些簡單或常見的元素符號、性質及應用。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6-3物質結構與原子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1.介紹道耳頓原子說的重要內容，並舉例說明其與化學相關的概念作連結，建立化合物與化學反應粒子模型概念。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由科學史介紹原子結構及拉塞福原子模型，並建議透過網路或其他多媒體教學，呈現原子的基本結構，若能配合動態的多媒體，效果會更好。建議最好不要要求學生只是背誦原子結構，而應讓學生透過原子結構的實際模擬觀察，建立起原子構造的基本概念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3.可運用模型，藉由質子、中子、電子的特性，將之「組合」為原子，幫助學生了解原子的組成，以及原子種類的表示方法。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.實驗6-1器材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3.口頭詢問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4.紙筆測驗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5.學習單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第十九週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12/30-1/3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ai-IV-2 透過與同儕的討論，分享科學發現的樂趣。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an-IV-2 分辨科學知識的確定性和持久性，會因科學研究的時空背景不同而有所變化。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Aa-IV-4 元素的性質有規律性和週期性。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Jb-IV-3 不同的離子在水溶液中可發生沉澱反應、酸鹼中和反應和氧化還原反應。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Mb-IV-2 科學史上重要發現的過程，以及不同性別、背景、族群者於其中的貢獻。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Aa-IV-5 元素與化合物有特定的化學符號表示法。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Cb-IV-1 分子與原子。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第六章物質的基本結構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6-4週期表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1.從科學史了解週期表中元素排列的規律和週期性，再引入現代週期表是利用原子序來排列出來的概念。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2.進行探究活動，簡單介紹週期表中鹼金屬、鈍氣、鹵素等族元素的性質。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6-5分子與化學式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.教師利用道耳頓原子說，反問學生物質的基本組成應為何？一定是原子嗎？再舉出反例，來推翻原子是組成物質的基本粒子，再引入分子的概念，最後並列舉原子與分子間的異同。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.透過實例介紹，讓學生知道並非所有的基本粒子都是分子。說明並舉例元素物質略可粗分為單原子分子物質、雙原子分子，也有多原子分子，化合物分子由不同元素原子組成。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.以實例介紹化學式，讓學生了解化學式所代表的意義，並能判斷其粒子模型。分子化合物的化學式較無規則可循，提醒學生要熟悉常見分子化合物的化學式。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.活動紀錄簿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.探討活動6-1器材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bookmarkStart w:id="0" w:name="_GoBack"/>
            <w:bookmarkEnd w:id="0"/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2.口頭詢問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5.紙筆測驗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第二十週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po-IV-1 能從學習活動、日常經驗及科技運用、自然環境、書刊及網路媒體中，進行各種有計畫的觀察，進而能察覺問題。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ai-IV-3 透過所學到的科學知識和科學探索的各種方法，解釋自然現象發生的原因，建立科學學習的自信心。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an-IV-2 分辨科學知識的確定性和持久性，會因科學研究的時空背景不同而有所變化。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Ba-IV-1 能量有不同形式，例如：動能、熱能、光能、電能、化學能等，而且彼此之間可以轉換。孤立系統的總能量會維持定值。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Bb-IV-4 熱的傳播方式包含傳導、對流與輻射。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Id-IV-3 地球的四季主要是因為地球自轉軸傾斜於地球公轉軌道面而造成。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Ka-IV-10 陽光經過三稜鏡可以分散成各種色光。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Ka-IV-11 物體的顏色是光選擇性反射的結果。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跨科主題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【1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.生命的原動力</w:t>
            </w: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1.連結生物課知識及生活經驗，引導學生了解太陽是地球主要能量來源。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2.引導學生根據提示分組進行模擬活動，從中察覺行星距離恆星的遠近與所接收輻射量間的關係。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3.由模擬活動結果理解適居帶的相關概念，並以此延伸推論其他星體的情況。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【2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.地球的能源</w:t>
            </w: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1.連結生物課知識及生活經驗，引導學生了解太陽是地球主要能量來源。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2.引導學生思考生活中會使用的能源，並從中察覺能量有多種不同形式且可以互相轉換。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【3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.太陽的畫布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1.欣賞不同情況下天空的照片，連結光與色散現象的知識，討論不同情況天空顏色差異的可能原因。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2.學生分組實際操作模擬活動，察覺光過介質過程顏色發生變化。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3.由模擬活動結果理解太陽光通過大氣層被散射的相關概念，並以此延伸推論其他行星的天空狀況。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4.學生根據散射概念，討論看到雷射光徑的方法。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【1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.生命的原動力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.模擬活動器材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【2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.地球的能源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.模擬活動器材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【3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.太陽的畫布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.預先收集各種情況下天空的圖片，以及月球、水星、金星上的天空圖片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.模擬活動器材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【1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.生命的原動力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.口頭詢問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2分組報告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【2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.地球的能源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2分組報告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【3】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口頭詢問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3分組報告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能源教育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閱讀素養教育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第二十一週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1/13-1/17</w:t>
            </w:r>
          </w:p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(暫定1/15.16為期末考)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an-IV-2 分辨科學知識的確定性和持久性，會因科學研究的時空背景不同而有所變化。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Bb-IV-4 熱的傳播方式包含傳導、對流與輻射。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Fb-IV-1 太陽系由太陽和行星組成，行星均繞太陽公轉。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Fb-IV-3 月球繞地球公轉；日、月、地在同一直線上會發生日月食。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Fb-IV-4 月相變化具有規律性。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Ka-IV-6 由針孔成像、影子實驗驗證與說明光的直進性。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Ka-IV-7 光速的大小和影響光速的因素。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Ka-IV-10 陽光經過三稜鏡可以分散成各種色光。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Me-IV-4 溫室氣體與全球暖化。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跨科主題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【4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.紅外線的發現</w:t>
            </w: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1.學生分段落閱讀課本後練習表達內容，包括紅外線發現歷程、其它太陽輻射波段，及紅外線與溫室效應的關係。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2.引導學生討論，解釋24小時監視器的燈泡功能，認識紅外線在生活中的應用。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3.欣賞星空觀測的圖片，並引導學生討論天文研究中的各種電磁輻射波段觀測。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【5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1.欣賞星空、日行跡、月相變化等的照片，進而察覺天體運行的規律。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2.認識行星及月亮發光成因，討論月相持續變化的可能原因。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3.學生根據提示合作進行模擬活動，觀察月球被太陽光照亮的面積大小及地球可見月相，理解月相變化規律。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4.學生根據模擬活動所見，推論日月食成因，並延伸討論木衛食的形成。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【6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.光傳播速率的測量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1.引導由速率的定義，設想測量光速的方法，再連結光速的概念，引導學生察覺光速不易測量的原因。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2.學生閱讀課本內容，認識測量光速的科學史，並聯結木衛一食成因的概念，引導學生討論並理解羅默測光速的方法。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3.引導學生由察覺星體間距離遙遠，日常生活所用長度單位過小，進而認識常用於星體間距離的單位。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【4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.紅外線的發現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3.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預先收集紅外線攝像儀的圖片，以及不同波段天文望遠鏡觀測圖片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電子教科書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【5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.預先收集星空、日行跡、月相變化、日月食的圖片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.模擬活動器材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【6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.光傳播速率的測量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jc w:val="lef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.預先收集木星的伽利略衛星及木衛食的圖片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.教用版電子教科書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【4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.紅外線的發現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.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  <w:lang w:val="en-US" w:eastAsia="zh-TW"/>
              </w:rPr>
              <w:t>2.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口頭詢問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【5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2口頭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詢問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【6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.光傳播速率的測量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 觀察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 口頭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color w:val="auto"/>
              </w:rPr>
              <w:t>詢問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left="0" w:leftChars="0" w:firstLine="0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</w:p>
          <w:p>
            <w:pPr>
              <w:spacing w:line="260" w:lineRule="exact"/>
              <w:ind w:left="0" w:leftChars="0" w:firstLine="0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第二十二週</w:t>
            </w:r>
          </w:p>
          <w:p>
            <w:pPr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tm-IV-1 能從實驗過程、合作討論中理解較複雜的自然界模型，並能評估不同模型的優點和限制，進能應用在後續的科學理解或生活。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pe-IV-2 能正確安全操作適合學習階段的物品、器材儀器、科技設備與資源。能進行客觀的質性觀測或數值量冊並詳實記錄。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pa-IV-1 能分析歸納、製作圖表、使用資訊與數學等方法，整理資訊或數據。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ai-IV-1 動手實作解決問題或驗證自己想法，而獲得成就感。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an-IV-2 分辨科學知識的確定性和持久性，會因科學研究的時空背景不同而有所變化。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Bb-IV-4 熱的傳播方式包含傳導、對流與輻射。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Fb-IV-1 太陽系由太陽和行星組成，行星均繞太陽公轉。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Fb-IV-3 月球繞地球公轉；日、月、地在同一直線上會發生日月食。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Fb-IV-4 月相變化具有規律性。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Ka-IV-6 由針孔成像、影子實驗驗證與說明光的直進性。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Ka-IV-7 光速的大小和影響光速的因素。</w:t>
            </w:r>
          </w:p>
          <w:p>
            <w:pPr>
              <w:adjustRightInd w:val="0"/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Ka-IV-10 陽光經過三稜鏡可以分散成各種色光。</w:t>
            </w:r>
          </w:p>
          <w:p>
            <w:pPr>
              <w:adjustRightInd w:val="0"/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/>
                <w:snapToGrid w:val="0"/>
                <w:color w:val="auto"/>
                <w:sz w:val="22"/>
                <w:szCs w:val="22"/>
              </w:rPr>
              <w:t>Me-IV-4 溫室氣體與全球暖化。</w:t>
            </w:r>
          </w:p>
        </w:tc>
        <w:tc>
          <w:tcPr>
            <w:tcW w:w="283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跨科主題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【4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.紅外線的發現</w:t>
            </w: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1.學生分段落閱讀課本後練習表達內容，包括紅外線發現歷程、其它太陽輻射波段，及紅外線與溫室效應的關係。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2.引導學生討論，解釋24小時監視器的燈泡功能，認識紅外線在生活中的應用。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3.欣賞星空觀測的圖片，並引導學生討論天文研究中的各種電磁輻射波段觀測。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【5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1.欣賞星空、日行跡、月相變化等的照片，進而察覺天體運行的規律。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2.認識行星及月亮發光成因，討論月相持續變化的可能原因。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3.學生根據提示合作進行模擬活動，觀察月球被太陽光照亮的面積大小及地球可見月相，理解月相變化規律。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4.學生根據模擬活動所見，推論日月食成因，並延伸討論木衛食的形成。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【6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1.引導由速率的定義，設想測量光速的方法，再連結光速的概念，引導學生察覺光速不易測量的原因。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2.學生閱讀課本內容，認識測量光速的科學史，並聯結木衛一食成因的概念，引導學生討論並理解羅默測光速的方法。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3.引導學生由察覺星體間距離遙遠，日常生活所用長度單位過小，進而認識常用於星體間距離的單位。</w:t>
            </w:r>
          </w:p>
        </w:tc>
        <w:tc>
          <w:tcPr>
            <w:tcW w:w="70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center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【4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.紅外線的發現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.預先收集紅外線攝像儀的圖片，以及不同波段天文望遠鏡觀測圖片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【5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.預先收集星空、日行跡、月相變化、日月食的圖片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.模擬活動器材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5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【6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rPr>
                <w:b w:val="0"/>
                <w:bCs w:val="0"/>
                <w:snapToGrid w:val="0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1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.電腦、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eastAsia="zh-TW"/>
              </w:rPr>
              <w:t>電子白板</w:t>
            </w:r>
          </w:p>
          <w:p>
            <w:pPr>
              <w:spacing w:line="260" w:lineRule="exact"/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  <w:lang w:val="en-US" w:eastAsia="zh-TW"/>
              </w:rPr>
              <w:t>2</w:t>
            </w:r>
            <w:r>
              <w:rPr>
                <w:rFonts w:hint="eastAsia" w:ascii="標楷體" w:hAnsi="標楷體" w:eastAsia="標楷體" w:cs="標楷體"/>
                <w:b w:val="0"/>
                <w:bCs w:val="0"/>
                <w:snapToGrid w:val="0"/>
              </w:rPr>
              <w:t>.PPT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3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.預先收集木星的伽利略衛星及木衛食的圖片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  <w:lang w:val="en-US" w:eastAsia="zh-TW"/>
              </w:rPr>
              <w:t>4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.電子教科書</w:t>
            </w:r>
          </w:p>
        </w:tc>
        <w:tc>
          <w:tcPr>
            <w:tcW w:w="141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【4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.紅外線的發現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2分組報告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【5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1觀察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2口頭評量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3活動學習單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【6</w:t>
            </w:r>
            <w:r>
              <w:rPr>
                <w:rFonts w:hint="eastAsia" w:ascii="標楷體" w:hAnsi="標楷體" w:eastAsia="標楷體" w:cs="標楷體"/>
                <w:snapToGrid w:val="0"/>
                <w:color w:val="auto"/>
                <w:sz w:val="22"/>
                <w:szCs w:val="22"/>
              </w:rPr>
              <w:t>.光的直進性與日地月運動</w:t>
            </w: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】</w:t>
            </w:r>
          </w:p>
          <w:p>
            <w:pPr>
              <w:spacing w:line="260" w:lineRule="exact"/>
              <w:jc w:val="left"/>
              <w:rPr>
                <w:rFonts w:ascii="標楷體" w:hAnsi="標楷體" w:eastAsia="標楷體"/>
                <w:bCs/>
                <w:snapToGrid w:val="0"/>
                <w:sz w:val="22"/>
                <w:szCs w:val="22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1 觀察</w:t>
            </w:r>
          </w:p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2 口頭評量</w:t>
            </w:r>
          </w:p>
        </w:tc>
        <w:tc>
          <w:tcPr>
            <w:tcW w:w="14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top"/>
          </w:tcPr>
          <w:p>
            <w:pPr>
              <w:spacing w:line="260" w:lineRule="exact"/>
              <w:ind w:firstLine="23" w:firstLineChars="0"/>
              <w:jc w:val="left"/>
              <w:rPr>
                <w:rFonts w:ascii="標楷體" w:hAnsi="標楷體" w:eastAsia="標楷體" w:cs="標楷體"/>
                <w:color w:val="FF0000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Cs/>
                <w:snapToGrid w:val="0"/>
                <w:color w:val="auto"/>
                <w:sz w:val="22"/>
                <w:szCs w:val="22"/>
              </w:rPr>
              <w:t>閱讀素養教育</w:t>
            </w:r>
          </w:p>
        </w:tc>
        <w:tc>
          <w:tcPr>
            <w:tcW w:w="1784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hAnsi="標楷體" w:eastAsia="標楷體" w:cs="標楷體"/>
                <w:sz w:val="24"/>
                <w:szCs w:val="24"/>
              </w:rPr>
            </w:pPr>
          </w:p>
        </w:tc>
      </w:tr>
    </w:tbl>
    <w:p>
      <w:pPr>
        <w:rPr>
          <w:rFonts w:ascii="標楷體" w:hAnsi="標楷體" w:eastAsia="標楷體" w:cs="標楷體"/>
          <w:b/>
          <w:sz w:val="24"/>
          <w:szCs w:val="24"/>
        </w:rPr>
      </w:pPr>
    </w:p>
    <w:p>
      <w:pPr>
        <w:pStyle w:val="45"/>
        <w:numPr>
          <w:ilvl w:val="0"/>
          <w:numId w:val="1"/>
        </w:numPr>
        <w:ind w:leftChars="0"/>
        <w:rPr>
          <w:rFonts w:ascii="標楷體" w:hAnsi="標楷體" w:eastAsia="標楷體" w:cs="標楷體"/>
          <w:color w:val="2E75B6" w:themeColor="accent1" w:themeShade="BF"/>
          <w:sz w:val="24"/>
          <w:szCs w:val="24"/>
        </w:rPr>
      </w:pPr>
      <w:r>
        <w:rPr>
          <w:rFonts w:hint="eastAsia" w:ascii="標楷體" w:hAnsi="標楷體" w:eastAsia="標楷體" w:cs="標楷體"/>
          <w:b/>
          <w:sz w:val="24"/>
          <w:szCs w:val="24"/>
        </w:rPr>
        <w:t>本課程是否有校外人士協助教學：</w:t>
      </w:r>
      <w:r>
        <w:rPr>
          <w:rFonts w:hint="eastAsia" w:ascii="標楷體" w:hAnsi="標楷體" w:eastAsia="標楷體" w:cs="標楷體"/>
          <w:b/>
          <w:color w:val="FF0000"/>
          <w:sz w:val="24"/>
          <w:szCs w:val="24"/>
        </w:rPr>
        <w:t>(本表格請勿刪除。)</w:t>
      </w:r>
    </w:p>
    <w:p>
      <w:pPr>
        <w:ind w:left="23" w:firstLine="542" w:firstLineChars="226"/>
        <w:rPr>
          <w:rFonts w:ascii="標楷體" w:hAnsi="標楷體" w:eastAsia="標楷體" w:cs="標楷體"/>
          <w:color w:val="auto"/>
          <w:sz w:val="24"/>
          <w:szCs w:val="24"/>
        </w:rPr>
      </w:pPr>
      <w:r>
        <w:rPr>
          <w:rFonts w:hint="eastAsia" w:ascii="標楷體" w:hAnsi="標楷體" w:eastAsia="標楷體" w:cs="標楷體"/>
          <w:sz w:val="24"/>
          <w:szCs w:val="24"/>
        </w:rPr>
        <w:t>■</w:t>
      </w:r>
      <w:r>
        <w:rPr>
          <w:rFonts w:hint="eastAsia" w:ascii="標楷體" w:hAnsi="標楷體" w:eastAsia="標楷體" w:cs="標楷體"/>
          <w:color w:val="auto"/>
          <w:sz w:val="24"/>
          <w:szCs w:val="24"/>
        </w:rPr>
        <w:t>否，全學年都沒有(</w:t>
      </w:r>
      <w:r>
        <w:rPr>
          <w:rFonts w:hint="eastAsia" w:ascii="標楷體" w:hAnsi="標楷體" w:eastAsia="標楷體" w:cs="標楷體"/>
          <w:b/>
          <w:color w:val="auto"/>
          <w:sz w:val="24"/>
          <w:szCs w:val="24"/>
        </w:rPr>
        <w:t>以下免填</w:t>
      </w:r>
      <w:r>
        <w:rPr>
          <w:rFonts w:hint="eastAsia" w:ascii="標楷體" w:hAnsi="標楷體" w:eastAsia="標楷體" w:cs="標楷體"/>
          <w:color w:val="auto"/>
          <w:sz w:val="24"/>
          <w:szCs w:val="24"/>
        </w:rPr>
        <w:t>)。</w:t>
      </w:r>
    </w:p>
    <w:p>
      <w:pPr>
        <w:ind w:left="23" w:firstLine="542" w:firstLineChars="226"/>
        <w:rPr>
          <w:rFonts w:ascii="標楷體" w:hAnsi="標楷體" w:eastAsia="標楷體" w:cs="標楷體"/>
          <w:color w:val="auto"/>
          <w:sz w:val="24"/>
          <w:szCs w:val="24"/>
        </w:rPr>
      </w:pPr>
      <w:r>
        <w:rPr>
          <w:rFonts w:hint="eastAsia" w:ascii="標楷體" w:hAnsi="標楷體" w:eastAsia="標楷體" w:cs="標楷體"/>
          <w:color w:val="auto"/>
          <w:sz w:val="24"/>
          <w:szCs w:val="24"/>
        </w:rPr>
        <w:t>□有，部分班級，實施的班級為：___________。</w:t>
      </w:r>
    </w:p>
    <w:p>
      <w:pPr>
        <w:ind w:left="23" w:firstLine="542" w:firstLineChars="226"/>
        <w:rPr>
          <w:rFonts w:ascii="標楷體" w:hAnsi="標楷體" w:eastAsia="標楷體" w:cs="標楷體"/>
          <w:color w:val="auto"/>
          <w:sz w:val="24"/>
          <w:szCs w:val="24"/>
        </w:rPr>
      </w:pPr>
      <w:r>
        <w:rPr>
          <w:rFonts w:hint="eastAsia" w:ascii="標楷體" w:hAnsi="標楷體" w:eastAsia="標楷體" w:cs="標楷體"/>
          <w:color w:val="auto"/>
          <w:sz w:val="24"/>
          <w:szCs w:val="24"/>
        </w:rPr>
        <w:t>□有，全學年實施。</w:t>
      </w:r>
    </w:p>
    <w:tbl>
      <w:tblPr>
        <w:tblStyle w:val="16"/>
        <w:tblW w:w="15108" w:type="dxa"/>
        <w:tblInd w:w="-28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3416"/>
        <w:gridCol w:w="3513"/>
        <w:gridCol w:w="2296"/>
        <w:gridCol w:w="1399"/>
        <w:gridCol w:w="319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>
            <w:pPr>
              <w:ind w:firstLine="0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>
            <w:pPr>
              <w:ind w:firstLine="0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>
            <w:pPr>
              <w:spacing w:before="100" w:beforeAutospacing="1"/>
              <w:ind w:firstLine="0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>
            <w:pPr>
              <w:spacing w:before="100" w:beforeAutospacing="1"/>
              <w:ind w:firstLine="0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>
            <w:pPr>
              <w:spacing w:before="100" w:beforeAutospacing="1"/>
              <w:ind w:firstLine="0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>
            <w:pPr>
              <w:spacing w:before="100" w:beforeAutospacing="1"/>
              <w:ind w:firstLine="0"/>
              <w:jc w:val="center"/>
              <w:rPr>
                <w:rFonts w:ascii="標楷體" w:hAnsi="標楷體" w:eastAsia="標楷體" w:cs="標楷體"/>
                <w:b/>
                <w:color w:val="auto"/>
                <w:sz w:val="24"/>
                <w:szCs w:val="24"/>
              </w:rPr>
            </w:pPr>
            <w:r>
              <w:rPr>
                <w:rFonts w:hint="eastAsia" w:ascii="標楷體" w:hAnsi="標楷體" w:eastAsia="標楷體" w:cs="標楷體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>
            <w:pPr>
              <w:pStyle w:val="12"/>
              <w:rPr>
                <w:rFonts w:ascii="標楷體" w:hAnsi="標楷體" w:eastAsia="標楷體" w:cs="標楷體"/>
              </w:rPr>
            </w:pPr>
            <w:r>
              <w:rPr>
                <w:rFonts w:ascii="標楷體" w:hAnsi="標楷體" w:eastAsia="標楷體" w:cs="標楷體"/>
              </w:rPr>
              <w:t>□</w:t>
            </w:r>
            <w:r>
              <w:rPr>
                <w:rFonts w:hint="eastAsia" w:ascii="標楷體" w:hAnsi="標楷體" w:eastAsia="標楷體" w:cs="標楷體"/>
              </w:rPr>
              <w:t>簡報</w:t>
            </w:r>
          </w:p>
          <w:p>
            <w:pPr>
              <w:pStyle w:val="12"/>
              <w:rPr>
                <w:rFonts w:ascii="標楷體" w:hAnsi="標楷體" w:eastAsia="標楷體" w:cs="標楷體"/>
              </w:rPr>
            </w:pPr>
            <w:r>
              <w:rPr>
                <w:rFonts w:ascii="標楷體" w:hAnsi="標楷體" w:eastAsia="標楷體" w:cs="標楷體"/>
              </w:rPr>
              <w:t>□印刷品</w:t>
            </w:r>
          </w:p>
          <w:p>
            <w:pPr>
              <w:pStyle w:val="12"/>
              <w:rPr>
                <w:rFonts w:ascii="標楷體" w:hAnsi="標楷體" w:eastAsia="標楷體" w:cs="標楷體"/>
              </w:rPr>
            </w:pPr>
            <w:r>
              <w:rPr>
                <w:rFonts w:ascii="標楷體" w:hAnsi="標楷體" w:eastAsia="標楷體" w:cs="標楷體"/>
              </w:rPr>
              <w:t>□影音光碟</w:t>
            </w:r>
          </w:p>
          <w:p>
            <w:pPr>
              <w:pStyle w:val="12"/>
              <w:rPr>
                <w:rFonts w:ascii="標楷體" w:hAnsi="標楷體" w:eastAsia="標楷體" w:cs="標楷體"/>
              </w:rPr>
            </w:pPr>
            <w:r>
              <w:rPr>
                <w:rFonts w:ascii="標楷體" w:hAnsi="標楷體" w:eastAsia="標楷體" w:cs="標楷體"/>
              </w:rPr>
              <w:t>□其他於課程或活動中使用之教學資料，請說明：</w:t>
            </w:r>
            <w:r>
              <w:rPr>
                <w:rFonts w:hint="eastAsia" w:ascii="標楷體" w:hAnsi="標楷體" w:eastAsia="標楷體" w:cs="標楷體"/>
              </w:rPr>
              <w:t>___________________________</w:t>
            </w:r>
          </w:p>
        </w:tc>
        <w:tc>
          <w:tcPr>
            <w:tcW w:w="2296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>
            <w:pPr>
              <w:ind w:firstLine="0"/>
              <w:rPr>
                <w:rFonts w:ascii="標楷體" w:hAnsi="標楷體" w:eastAsia="標楷體" w:cs="標楷體"/>
                <w:color w:val="auto"/>
                <w:sz w:val="24"/>
                <w:szCs w:val="24"/>
              </w:rPr>
            </w:pPr>
          </w:p>
        </w:tc>
      </w:tr>
    </w:tbl>
    <w:p>
      <w:pPr>
        <w:ind w:left="23" w:firstLine="0"/>
        <w:rPr>
          <w:rFonts w:eastAsia="標楷體"/>
          <w:b/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sym w:font="Wingdings" w:char="F0B6"/>
      </w:r>
      <w:r>
        <w:rPr>
          <w:rFonts w:eastAsia="標楷體"/>
          <w:b/>
          <w:color w:val="FF0000"/>
          <w:sz w:val="24"/>
          <w:szCs w:val="24"/>
        </w:rPr>
        <w:t>上述欄位皆與校外人士協助教學</w:t>
      </w:r>
      <w:r>
        <w:rPr>
          <w:rFonts w:hint="eastAsia" w:eastAsia="標楷體"/>
          <w:b/>
          <w:color w:val="FF0000"/>
          <w:sz w:val="24"/>
          <w:szCs w:val="24"/>
        </w:rPr>
        <w:t>及</w:t>
      </w:r>
      <w:r>
        <w:rPr>
          <w:rFonts w:eastAsia="標楷體"/>
          <w:b/>
          <w:color w:val="FF0000"/>
          <w:sz w:val="24"/>
          <w:szCs w:val="24"/>
        </w:rPr>
        <w:t>活動之申請表一致</w:t>
      </w:r>
      <w:r>
        <w:rPr>
          <w:rFonts w:hint="eastAsia" w:eastAsia="標楷體"/>
          <w:b/>
          <w:color w:val="FF0000"/>
          <w:sz w:val="24"/>
          <w:szCs w:val="24"/>
        </w:rPr>
        <w:t>。</w:t>
      </w:r>
    </w:p>
    <w:sectPr>
      <w:footerReference r:id="rId3" w:type="default"/>
      <w:pgSz w:w="16839" w:h="11907" w:orient="landscape"/>
      <w:pgMar w:top="851" w:right="1134" w:bottom="851" w:left="1134" w:header="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細明體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標楷體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夹发砰">
    <w:altName w:val="SimSu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FKaiShu-SB-Estd-BF">
    <w:altName w:val="新細明體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AVGmdBU">
    <w:altName w:val="Malgun Gothic Semilight"/>
    <w:panose1 w:val="00000000000000000000"/>
    <w:charset w:val="88"/>
    <w:family w:val="auto"/>
    <w:pitch w:val="default"/>
    <w:sig w:usb0="00000000" w:usb1="00000000" w:usb2="00000016" w:usb3="00000000" w:csb0="0016009F" w:csb1="00000000"/>
  </w:font>
  <w:font w:name="SimHei">
    <w:altName w:val="SimSun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華康中黑體">
    <w:altName w:val="微軟正黑體"/>
    <w:panose1 w:val="00000000000000000000"/>
    <w:charset w:val="88"/>
    <w:family w:val="modern"/>
    <w:pitch w:val="default"/>
    <w:sig w:usb0="00000000" w:usb1="00000000" w:usb2="00000010" w:usb3="00000000" w:csb0="00160005" w:csb1="00000000"/>
  </w:font>
  <w:font w:name="微軟正黑體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26772356"/>
    </w:sdtPr>
    <w:sdtContent>
      <w:p>
        <w:pPr>
          <w:pStyle w:val="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TW"/>
          </w:rPr>
          <w:t>4</w:t>
        </w:r>
        <w:r>
          <w:fldChar w:fldCharType="end"/>
        </w:r>
      </w:p>
    </w:sdtContent>
  </w:sdt>
  <w:p>
    <w:pPr>
      <w:tabs>
        <w:tab w:val="center" w:pos="4153"/>
        <w:tab w:val="right" w:pos="8306"/>
      </w:tabs>
      <w:spacing w:after="99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12832"/>
    <w:multiLevelType w:val="multilevel"/>
    <w:tmpl w:val="2A912832"/>
    <w:lvl w:ilvl="0" w:tentative="0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ideographTraditional"/>
      <w:lvlText w:val="%2、"/>
      <w:lvlJc w:val="left"/>
      <w:pPr>
        <w:ind w:left="983" w:hanging="480"/>
      </w:pPr>
    </w:lvl>
    <w:lvl w:ilvl="2" w:tentative="0">
      <w:start w:val="1"/>
      <w:numFmt w:val="lowerRoman"/>
      <w:lvlText w:val="%3."/>
      <w:lvlJc w:val="right"/>
      <w:pPr>
        <w:ind w:left="1463" w:hanging="480"/>
      </w:pPr>
    </w:lvl>
    <w:lvl w:ilvl="3" w:tentative="0">
      <w:start w:val="1"/>
      <w:numFmt w:val="decimal"/>
      <w:lvlText w:val="%4."/>
      <w:lvlJc w:val="left"/>
      <w:pPr>
        <w:ind w:left="1943" w:hanging="480"/>
      </w:pPr>
    </w:lvl>
    <w:lvl w:ilvl="4" w:tentative="0">
      <w:start w:val="1"/>
      <w:numFmt w:val="ideographTraditional"/>
      <w:lvlText w:val="%5、"/>
      <w:lvlJc w:val="left"/>
      <w:pPr>
        <w:ind w:left="2423" w:hanging="480"/>
      </w:pPr>
    </w:lvl>
    <w:lvl w:ilvl="5" w:tentative="0">
      <w:start w:val="1"/>
      <w:numFmt w:val="lowerRoman"/>
      <w:lvlText w:val="%6."/>
      <w:lvlJc w:val="right"/>
      <w:pPr>
        <w:ind w:left="2903" w:hanging="480"/>
      </w:pPr>
    </w:lvl>
    <w:lvl w:ilvl="6" w:tentative="0">
      <w:start w:val="1"/>
      <w:numFmt w:val="decimal"/>
      <w:lvlText w:val="%7."/>
      <w:lvlJc w:val="left"/>
      <w:pPr>
        <w:ind w:left="3383" w:hanging="480"/>
      </w:pPr>
    </w:lvl>
    <w:lvl w:ilvl="7" w:tentative="0">
      <w:start w:val="1"/>
      <w:numFmt w:val="ideographTraditional"/>
      <w:lvlText w:val="%8、"/>
      <w:lvlJc w:val="left"/>
      <w:pPr>
        <w:ind w:left="3863" w:hanging="480"/>
      </w:pPr>
    </w:lvl>
    <w:lvl w:ilvl="8" w:tentative="0">
      <w:start w:val="1"/>
      <w:numFmt w:val="lowerRoman"/>
      <w:lvlText w:val="%9."/>
      <w:lvlJc w:val="right"/>
      <w:pPr>
        <w:ind w:left="4343" w:hanging="480"/>
      </w:pPr>
    </w:lvl>
  </w:abstractNum>
  <w:abstractNum w:abstractNumId="1">
    <w:nsid w:val="46823F75"/>
    <w:multiLevelType w:val="multilevel"/>
    <w:tmpl w:val="46823F75"/>
    <w:lvl w:ilvl="0" w:tentative="0">
      <w:start w:val="1"/>
      <w:numFmt w:val="decimal"/>
      <w:lvlText w:val="%1."/>
      <w:lvlJc w:val="left"/>
      <w:pPr>
        <w:ind w:left="863" w:hanging="360"/>
      </w:pPr>
      <w:rPr>
        <w:rFonts w:hint="default" w:ascii="Times New Roman" w:hAnsi="Times New Roman" w:cs="Times New Roman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832034E"/>
    <w:multiLevelType w:val="multilevel"/>
    <w:tmpl w:val="6832034E"/>
    <w:lvl w:ilvl="0" w:tentative="0">
      <w:start w:val="1"/>
      <w:numFmt w:val="decimal"/>
      <w:lvlText w:val="%1."/>
      <w:lvlJc w:val="left"/>
      <w:pPr>
        <w:ind w:left="863" w:hanging="360"/>
      </w:pPr>
      <w:rPr>
        <w:rFonts w:hint="default" w:ascii="Times New Roman" w:hAnsi="Times New Roman" w:cs="Times New Roman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hideSpellingErrors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  <w:rsid w:val="02E32778"/>
    <w:rsid w:val="06AD65DE"/>
    <w:rsid w:val="0B5B4448"/>
    <w:rsid w:val="100A7701"/>
    <w:rsid w:val="10BF00EA"/>
    <w:rsid w:val="1859400C"/>
    <w:rsid w:val="26111F31"/>
    <w:rsid w:val="28372959"/>
    <w:rsid w:val="2B3E5ACA"/>
    <w:rsid w:val="3D49170F"/>
    <w:rsid w:val="3D761601"/>
    <w:rsid w:val="3E00177E"/>
    <w:rsid w:val="3F763A92"/>
    <w:rsid w:val="45E56EEE"/>
    <w:rsid w:val="49376448"/>
    <w:rsid w:val="49DE6B45"/>
    <w:rsid w:val="4C405E4F"/>
    <w:rsid w:val="54713F46"/>
    <w:rsid w:val="601E2344"/>
    <w:rsid w:val="72E873D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ind w:firstLine="23"/>
      <w:jc w:val="both"/>
    </w:pPr>
    <w:rPr>
      <w:rFonts w:ascii="Times New Roman" w:hAnsi="Times New Roman" w:cs="Times New Roman" w:eastAsiaTheme="minorEastAsia"/>
      <w:color w:val="000000"/>
      <w:lang w:val="en-US" w:eastAsia="zh-TW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</w:style>
  <w:style w:type="paragraph" w:styleId="9">
    <w:name w:val="Subtitle"/>
    <w:basedOn w:val="1"/>
    <w:next w:val="1"/>
    <w:qFormat/>
    <w:uiPriority w:val="0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0">
    <w:name w:val="Title"/>
    <w:basedOn w:val="1"/>
    <w:next w:val="1"/>
    <w:qFormat/>
    <w:uiPriority w:val="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11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新細明體" w:hAnsi="新細明體" w:eastAsia="新細明體" w:cs="新細明體"/>
      <w:color w:val="auto"/>
      <w:sz w:val="24"/>
      <w:szCs w:val="24"/>
    </w:rPr>
  </w:style>
  <w:style w:type="paragraph" w:styleId="13">
    <w:name w:val="Balloon Text"/>
    <w:basedOn w:val="1"/>
    <w:link w:val="47"/>
    <w:unhideWhenUsed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7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_Style 12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19">
    <w:name w:val="_Style 13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20">
    <w:name w:val="_Style 14"/>
    <w:basedOn w:val="17"/>
    <w:qFormat/>
    <w:uiPriority w:val="0"/>
    <w:tblPr>
      <w:tblLayout w:type="fixed"/>
      <w:tblCellMar>
        <w:left w:w="108" w:type="dxa"/>
        <w:right w:w="108" w:type="dxa"/>
      </w:tblCellMar>
    </w:tblPr>
  </w:style>
  <w:style w:type="table" w:customStyle="1" w:styleId="21">
    <w:name w:val="_Style 15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22">
    <w:name w:val="_Style 16"/>
    <w:basedOn w:val="17"/>
    <w:qFormat/>
    <w:uiPriority w:val="0"/>
    <w:tblPr>
      <w:tblLayout w:type="fixed"/>
    </w:tblPr>
  </w:style>
  <w:style w:type="table" w:customStyle="1" w:styleId="23">
    <w:name w:val="_Style 17"/>
    <w:basedOn w:val="17"/>
    <w:qFormat/>
    <w:uiPriority w:val="0"/>
    <w:tblPr>
      <w:tblLayout w:type="fixed"/>
    </w:tblPr>
  </w:style>
  <w:style w:type="table" w:customStyle="1" w:styleId="24">
    <w:name w:val="_Style 18"/>
    <w:basedOn w:val="17"/>
    <w:qFormat/>
    <w:uiPriority w:val="0"/>
    <w:tblPr>
      <w:tblLayout w:type="fixed"/>
    </w:tblPr>
  </w:style>
  <w:style w:type="table" w:customStyle="1" w:styleId="25">
    <w:name w:val="_Style 19"/>
    <w:basedOn w:val="17"/>
    <w:qFormat/>
    <w:uiPriority w:val="0"/>
    <w:tblPr>
      <w:tblLayout w:type="fixed"/>
    </w:tblPr>
  </w:style>
  <w:style w:type="table" w:customStyle="1" w:styleId="26">
    <w:name w:val="_Style 20"/>
    <w:basedOn w:val="17"/>
    <w:qFormat/>
    <w:uiPriority w:val="0"/>
    <w:tblPr>
      <w:tblLayout w:type="fixed"/>
      <w:tblCellMar>
        <w:left w:w="108" w:type="dxa"/>
        <w:right w:w="108" w:type="dxa"/>
      </w:tblCellMar>
    </w:tblPr>
  </w:style>
  <w:style w:type="table" w:customStyle="1" w:styleId="27">
    <w:name w:val="_Style 21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28">
    <w:name w:val="_Style 22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29">
    <w:name w:val="_Style 23"/>
    <w:basedOn w:val="17"/>
    <w:qFormat/>
    <w:uiPriority w:val="0"/>
    <w:tblPr>
      <w:tblLayout w:type="fixed"/>
      <w:tblCellMar>
        <w:left w:w="108" w:type="dxa"/>
        <w:right w:w="108" w:type="dxa"/>
      </w:tblCellMar>
    </w:tblPr>
  </w:style>
  <w:style w:type="table" w:customStyle="1" w:styleId="30">
    <w:name w:val="_Style 24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31">
    <w:name w:val="_Style 25"/>
    <w:basedOn w:val="17"/>
    <w:qFormat/>
    <w:uiPriority w:val="0"/>
    <w:tblPr>
      <w:tblLayout w:type="fixed"/>
      <w:tblCellMar>
        <w:left w:w="108" w:type="dxa"/>
        <w:right w:w="108" w:type="dxa"/>
      </w:tblCellMar>
    </w:tblPr>
  </w:style>
  <w:style w:type="table" w:customStyle="1" w:styleId="32">
    <w:name w:val="_Style 26"/>
    <w:basedOn w:val="17"/>
    <w:qFormat/>
    <w:uiPriority w:val="0"/>
    <w:tblPr>
      <w:tblLayout w:type="fixed"/>
    </w:tblPr>
  </w:style>
  <w:style w:type="table" w:customStyle="1" w:styleId="33">
    <w:name w:val="_Style 27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34">
    <w:name w:val="_Style 28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35">
    <w:name w:val="_Style 29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36">
    <w:name w:val="_Style 30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table" w:customStyle="1" w:styleId="37">
    <w:name w:val="_Style 31"/>
    <w:basedOn w:val="17"/>
    <w:qFormat/>
    <w:uiPriority w:val="0"/>
    <w:tblPr>
      <w:tblLayout w:type="fixed"/>
      <w:tblCellMar>
        <w:left w:w="108" w:type="dxa"/>
        <w:right w:w="108" w:type="dxa"/>
      </w:tblCellMar>
    </w:tblPr>
  </w:style>
  <w:style w:type="table" w:customStyle="1" w:styleId="38">
    <w:name w:val="_Style 32"/>
    <w:basedOn w:val="17"/>
    <w:qFormat/>
    <w:uiPriority w:val="0"/>
    <w:tblPr>
      <w:tblLayout w:type="fixed"/>
    </w:tblPr>
  </w:style>
  <w:style w:type="table" w:customStyle="1" w:styleId="39">
    <w:name w:val="_Style 33"/>
    <w:basedOn w:val="17"/>
    <w:qFormat/>
    <w:uiPriority w:val="0"/>
    <w:tblPr>
      <w:tblLayout w:type="fixed"/>
    </w:tblPr>
  </w:style>
  <w:style w:type="table" w:customStyle="1" w:styleId="40">
    <w:name w:val="_Style 34"/>
    <w:basedOn w:val="17"/>
    <w:qFormat/>
    <w:uiPriority w:val="0"/>
    <w:tblPr>
      <w:tblLayout w:type="fixed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_Style 35"/>
    <w:basedOn w:val="17"/>
    <w:qFormat/>
    <w:uiPriority w:val="0"/>
    <w:tblPr>
      <w:tblLayout w:type="fixed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2">
    <w:name w:val="_Style 36"/>
    <w:basedOn w:val="17"/>
    <w:qFormat/>
    <w:uiPriority w:val="0"/>
    <w:tblPr>
      <w:tblLayout w:type="fixed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3">
    <w:name w:val="_Style 37"/>
    <w:basedOn w:val="17"/>
    <w:qFormat/>
    <w:uiPriority w:val="0"/>
    <w:tblPr>
      <w:tblLayout w:type="fixed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44">
    <w:name w:val="_Style 38"/>
    <w:basedOn w:val="17"/>
    <w:qFormat/>
    <w:uiPriority w:val="0"/>
    <w:tblPr>
      <w:tblLayout w:type="fixed"/>
      <w:tblCellMar>
        <w:left w:w="28" w:type="dxa"/>
        <w:right w:w="28" w:type="dxa"/>
      </w:tblCellMar>
    </w:tblPr>
  </w:style>
  <w:style w:type="paragraph" w:customStyle="1" w:styleId="45">
    <w:name w:val="List Paragraph"/>
    <w:basedOn w:val="1"/>
    <w:qFormat/>
    <w:uiPriority w:val="34"/>
    <w:pPr>
      <w:ind w:left="480" w:leftChars="200"/>
    </w:pPr>
  </w:style>
  <w:style w:type="character" w:customStyle="1" w:styleId="46">
    <w:name w:val="apple-converted-space"/>
    <w:basedOn w:val="14"/>
    <w:qFormat/>
    <w:uiPriority w:val="0"/>
  </w:style>
  <w:style w:type="character" w:customStyle="1" w:styleId="47">
    <w:name w:val="註解方塊文字 字元"/>
    <w:basedOn w:val="14"/>
    <w:link w:val="13"/>
    <w:semiHidden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character" w:customStyle="1" w:styleId="48">
    <w:name w:val="頁首 字元"/>
    <w:basedOn w:val="14"/>
    <w:link w:val="8"/>
    <w:qFormat/>
    <w:uiPriority w:val="99"/>
  </w:style>
  <w:style w:type="character" w:customStyle="1" w:styleId="49">
    <w:name w:val="頁尾 字元"/>
    <w:basedOn w:val="14"/>
    <w:link w:val="11"/>
    <w:qFormat/>
    <w:uiPriority w:val="99"/>
  </w:style>
  <w:style w:type="paragraph" w:customStyle="1" w:styleId="50">
    <w:name w:val="No Spacing"/>
    <w:qFormat/>
    <w:uiPriority w:val="1"/>
    <w:pPr>
      <w:ind w:firstLine="23"/>
      <w:jc w:val="both"/>
    </w:pPr>
    <w:rPr>
      <w:rFonts w:ascii="Times New Roman" w:hAnsi="Times New Roman" w:cs="Times New Roman" w:eastAsiaTheme="minorEastAsia"/>
      <w:color w:val="000000"/>
      <w:lang w:val="en-US" w:eastAsia="zh-TW" w:bidi="ar-SA"/>
    </w:rPr>
  </w:style>
  <w:style w:type="paragraph" w:customStyle="1" w:styleId="51">
    <w:name w:val="Default"/>
    <w:qFormat/>
    <w:uiPriority w:val="0"/>
    <w:pPr>
      <w:autoSpaceDE w:val="0"/>
      <w:autoSpaceDN w:val="0"/>
      <w:adjustRightInd w:val="0"/>
      <w:ind w:firstLine="23"/>
      <w:jc w:val="both"/>
    </w:pPr>
    <w:rPr>
      <w:rFonts w:ascii="標楷體" w:hAnsi="標楷體" w:cs="標楷體" w:eastAsiaTheme="minorEastAsia"/>
      <w:color w:val="000000"/>
      <w:sz w:val="24"/>
      <w:szCs w:val="24"/>
      <w:lang w:val="en-US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024C13-198A-4BC1-8CD5-9FBAD1D42B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6</Pages>
  <Words>270</Words>
  <Characters>1545</Characters>
  <Lines>12</Lines>
  <Paragraphs>3</Paragraphs>
  <ScaleCrop>false</ScaleCrop>
  <LinksUpToDate>false</LinksUpToDate>
  <CharactersWithSpaces>1812</CharactersWithSpaces>
  <Application>WPS Office_10.8.0.6003_F1E327BC-269C-435d-A152-05C5408002CA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2023-04-26T07:18:00Z</dcterms:created>
  <dc:creator>leard</dc:creator>
  <cp:lastModifiedBy>peifen</cp:lastModifiedBy>
  <cp:lastPrinted>2018-11-20T02:54:00Z</cp:lastPrinted>
  <dcterms:modified xsi:type="dcterms:W3CDTF">2024-05-15T04:43:30Z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</Properties>
</file>